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Target="docProps/core.xml" Type="http://schemas.openxmlformats.org/package/2006/relationships/metadata/core-properties" Id="rId3"></Relationship><Relationship Target="docProps/thumbnail.emf" Type="http://schemas.openxmlformats.org/package/2006/relationships/metadata/thumbnail" Id="rId2"></Relationship><Relationship Target="word/document.xml" Type="http://schemas.openxmlformats.org/officeDocument/2006/relationships/officeDocument" Id="rId1"></Relationship><Relationship Target="docProps/custom.xml" Type="http://schemas.openxmlformats.org/officeDocument/2006/relationships/custom-properties" Id="rId5"></Relationship><Relationship Target="docProps/app.xml" Type="http://schemas.openxmlformats.org/officeDocument/2006/relationships/extended-properties" Id="rId4"></Relationship></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E3457" w:rsidRDefault="005268B9" w14:paraId="6877C2CE" w14:textId="77777777">
      <w:pPr>
        <w:pStyle w:val="Heading2"/>
        <w15:collapsed w:val="false"/>
        <w:rPr>
          <w:rFonts w:ascii="Calibri" w:hAnsi="Calibri"/>
          <w:i w:val="false"/>
        </w:rPr>
      </w:pPr>
      <w:r>
        <w:rPr>
          <w:rFonts w:ascii="Calibri" w:hAnsi="Calibri"/>
          <w:i w:val="false"/>
        </w:rPr>
        <w:t>CR-05 - Goals and Outcomes</w:t>
      </w:r>
    </w:p>
    <w:p w:rsidR="00FE3457" w:rsidRDefault="005268B9" w14:paraId="17041DF0" w14:textId="77777777">
      <w:pPr>
        <w:keepNext/>
        <w:widowControl w:val="false"/>
        <w:spacing w:after="0" w:line="240" w:lineRule="auto"/>
        <w:rPr>
          <w:b/>
          <w:sz w:val="28"/>
          <w:szCs w:val="28"/>
        </w:rPr>
      </w:pPr>
      <w:r>
        <w:rPr>
          <w:b/>
          <w:sz w:val="24"/>
          <w:szCs w:val="24"/>
        </w:rPr>
        <w:t>Progress the jurisdiction has made in carrying out its strategic plan and its action plan.  91.520(a)</w:t>
      </w:r>
      <w:r>
        <w:rPr>
          <w:b/>
          <w:sz w:val="28"/>
          <w:szCs w:val="28"/>
        </w:rPr>
        <w:t xml:space="preserve"> </w:t>
      </w:r>
    </w:p>
    <w:p w:rsidR="00FE3457" w:rsidRDefault="005268B9" w14:paraId="1791D493" w14:textId="77777777">
      <w:pPr>
        <w:keepNext/>
        <w:widowControl w:val="false"/>
        <w:spacing w:after="0" w:line="240" w:lineRule="auto"/>
      </w:pPr>
      <w:r>
        <w:t>This could be an overview that includes major initiatives and highlights that were proposed and executed throughout the program year.</w:t>
      </w:r>
    </w:p>
    <w:p w:rsidR="00FE3457" w:rsidRDefault="00FE3457" w14:paraId="672A6659" w14:textId="77777777">
      <w:pPr>
        <w:keepNext/>
        <w:widowControl w:val="false"/>
        <w:spacing w:after="0" w:line="240" w:lineRule="auto"/>
        <w:rPr>
          <w:b/>
        </w:rPr>
      </w:pPr>
    </w:p>
    <w:p>
      <w:pPr>
        <w:widowControl w:val="false"/>
        <w:spacing w:beforeAutospacing="true" w:afterAutospacing="true"/>
        <w:rPr>
          <w:szCs w:val="24"/>
        </w:rPr>
      </w:pPr>
      <w:r>
        <w:rPr/>
        <w:t xml:space="preserve">The City of Charleston’s Community Development Block Grant (CDBG) funds were allocated as equitably as possible to program-eligible areas throughout the City.  HOME funds were used by qualified clients throughout the eligible consortia area (City of Charleston, unincorporated areas of Kanawha County, and participating Kanawha County cities and towns).  No targeted areas were identified.  In addition to the HUD formula grants, the City and/or its stakeholders received financial support from the U.S. Department of Housing and Urban Development Supportive Housing Program, West Virginia Housing Development Fund, and the Charleston Urban Renewal Authority. </w:t>
      </w:r>
    </w:p>
    <w:p w:rsidR="00FE3457" w:rsidRDefault="005268B9" w14:paraId="1D122F44" w14:textId="77777777">
      <w:pPr>
        <w:keepNext/>
        <w:widowControl w:val="false"/>
        <w:spacing w:after="0" w:line="240" w:lineRule="auto"/>
        <w:rPr>
          <w:b/>
          <w:sz w:val="24"/>
          <w:szCs w:val="24"/>
        </w:rPr>
      </w:pPr>
      <w:r>
        <w:rPr>
          <w:b/>
          <w:sz w:val="24"/>
          <w:szCs w:val="24"/>
        </w:rPr>
        <w:t>Comparison of the proposed versus actual outcomes for each outcome measure submitted with the consolidated plan and explain, if applicable, why progress was not made toward meeting goals and objectives.  91.520(g)</w:t>
      </w:r>
    </w:p>
    <w:p w:rsidR="00FE3457" w:rsidRDefault="005268B9" w14:paraId="2D792108" w14:textId="77777777">
      <w:pPr>
        <w:keepNext/>
        <w:widowControl w:val="false"/>
        <w:spacing w:after="0" w:line="240" w:lineRule="auto"/>
        <w:rPr>
          <w:szCs w:val="24"/>
        </w:rPr>
      </w:pPr>
      <w:r>
        <w:t>Categories, priority levels, funding sources and amounts, outcomes/objectives, goal outcome indicators, units of measure, targets, actual outcomes/outputs, and percentage completed for each of the grantee’s program year goals.</w:t>
      </w:r>
    </w:p>
    <w:p w:rsidR="00FE3457" w:rsidRDefault="00FE3457" w14:paraId="0A37501D" w14:textId="77777777">
      <w:pPr>
        <w:widowControl w:val="false"/>
        <w:rPr>
          <w:b/>
          <w:sz w:val="24"/>
          <w:szCs w:val="24"/>
        </w:rPr>
      </w:pPr>
    </w:p>
    <w:tbl>
      <w:tblPr>
        <w:tblStyle w:val="TableGrid"/>
        <w:tblW w:w="13728" w:type="dxa"/>
        <w:tblInd w:w="0" w:type="dxa"/>
        <w:tblLook w:firstRow="1" w:lastRow="0" w:firstColumn="1" w:lastColumn="0" w:noHBand="0" w:noVBand="1" w:val="04A0"/>
      </w:tblPr>
      <w:tblGrid>
        <w:gridCol w:w="1248"/>
        <w:gridCol w:w="1248"/>
        <w:gridCol w:w="1248"/>
        <w:gridCol w:w="1248"/>
        <w:gridCol w:w="1248"/>
        <w:gridCol w:w="1248"/>
        <w:gridCol w:w="1248"/>
        <w:gridCol w:w="1248"/>
        <w:gridCol w:w="1248"/>
        <w:gridCol w:w="1248"/>
        <w:gridCol w:w="1248"/>
      </w:tblGrid>
      <w:tr w:rsidR="00FE3457" w14:paraId="7894F043" w14:textId="77777777">
        <w:tc>
          <w:tcPr>
            <w:tcW w:w="1248" w:type="dxa"/>
          </w:tcPr>
          <w:p w:rsidR="00FE3457" w:rsidRDefault="005268B9" w14:paraId="7996A6EA" w14:textId="77777777">
            <w:pPr>
              <w:keepNext/>
              <w:widowControl w:val="false"/>
              <w:spacing w:after="0" w:line="240" w:lineRule="auto"/>
              <w:rPr>
                <w:b/>
              </w:rPr>
            </w:pPr>
            <w:r>
              <w:rPr>
                <w:b/>
              </w:rPr>
              <w:t>Goal</w:t>
            </w:r>
          </w:p>
        </w:tc>
        <w:tc>
          <w:tcPr>
            <w:tcW w:w="1248" w:type="dxa"/>
          </w:tcPr>
          <w:p w:rsidR="00FE3457" w:rsidRDefault="005268B9" w14:paraId="1E5A74F1" w14:textId="77777777">
            <w:pPr>
              <w:keepNext/>
              <w:widowControl w:val="false"/>
              <w:spacing w:after="0" w:line="240" w:lineRule="auto"/>
              <w:rPr>
                <w:b/>
              </w:rPr>
            </w:pPr>
            <w:r>
              <w:rPr>
                <w:b/>
              </w:rPr>
              <w:t>Category</w:t>
            </w:r>
          </w:p>
        </w:tc>
        <w:tc>
          <w:tcPr>
            <w:tcW w:w="1248" w:type="dxa"/>
          </w:tcPr>
          <w:p w:rsidR="00FE3457" w:rsidRDefault="005268B9" w14:paraId="1E5AEBB5" w14:textId="77777777">
            <w:pPr>
              <w:keepNext/>
              <w:widowControl w:val="false"/>
              <w:spacing w:after="0" w:line="240" w:lineRule="auto"/>
              <w:rPr>
                <w:b/>
              </w:rPr>
            </w:pPr>
            <w:r>
              <w:rPr>
                <w:b/>
              </w:rPr>
              <w:t>Source / Amount</w:t>
            </w:r>
          </w:p>
        </w:tc>
        <w:tc>
          <w:tcPr>
            <w:tcW w:w="1248" w:type="dxa"/>
          </w:tcPr>
          <w:p w:rsidR="00FE3457" w:rsidRDefault="005268B9" w14:paraId="1F14A01B" w14:textId="77777777">
            <w:pPr>
              <w:keepNext/>
              <w:widowControl w:val="false"/>
              <w:spacing w:after="0" w:line="240" w:lineRule="auto"/>
              <w:rPr>
                <w:b/>
              </w:rPr>
            </w:pPr>
            <w:r>
              <w:rPr>
                <w:b/>
              </w:rPr>
              <w:t>Indicator</w:t>
            </w:r>
          </w:p>
        </w:tc>
        <w:tc>
          <w:tcPr>
            <w:tcW w:w="1248" w:type="dxa"/>
          </w:tcPr>
          <w:p w:rsidR="00FE3457" w:rsidRDefault="005268B9" w14:paraId="02CBE79D" w14:textId="77777777">
            <w:pPr>
              <w:keepNext/>
              <w:widowControl w:val="false"/>
              <w:spacing w:after="0" w:line="240" w:lineRule="auto"/>
              <w:rPr>
                <w:b/>
              </w:rPr>
            </w:pPr>
            <w:r>
              <w:rPr>
                <w:b/>
              </w:rPr>
              <w:t>Unit of Measure</w:t>
            </w:r>
          </w:p>
        </w:tc>
        <w:tc>
          <w:tcPr>
            <w:tcW w:w="1248" w:type="dxa"/>
          </w:tcPr>
          <w:p w:rsidR="00FE3457" w:rsidRDefault="005268B9" w14:paraId="6C0F1A38" w14:textId="77777777">
            <w:pPr>
              <w:keepNext/>
              <w:widowControl w:val="false"/>
              <w:spacing w:after="0" w:line="240" w:lineRule="auto"/>
              <w:rPr>
                <w:b/>
              </w:rPr>
            </w:pPr>
            <w:r>
              <w:rPr>
                <w:b/>
              </w:rPr>
              <w:t>Expected – Strategic Plan</w:t>
            </w:r>
          </w:p>
        </w:tc>
        <w:tc>
          <w:tcPr>
            <w:tcW w:w="1248" w:type="dxa"/>
          </w:tcPr>
          <w:p w:rsidR="00FE3457" w:rsidRDefault="005268B9" w14:paraId="123CD6E7" w14:textId="77777777">
            <w:pPr>
              <w:keepNext/>
              <w:widowControl w:val="false"/>
              <w:spacing w:after="0" w:line="240" w:lineRule="auto"/>
              <w:rPr>
                <w:b/>
              </w:rPr>
            </w:pPr>
            <w:r>
              <w:rPr>
                <w:b/>
              </w:rPr>
              <w:t>Actual – Strategic Plan</w:t>
            </w:r>
          </w:p>
        </w:tc>
        <w:tc>
          <w:tcPr>
            <w:tcW w:w="1248" w:type="dxa"/>
          </w:tcPr>
          <w:p w:rsidR="00FE3457" w:rsidRDefault="005268B9" w14:paraId="16837A64" w14:textId="77777777">
            <w:pPr>
              <w:keepNext/>
              <w:widowControl w:val="false"/>
              <w:spacing w:after="0" w:line="240" w:lineRule="auto"/>
              <w:rPr>
                <w:b/>
              </w:rPr>
            </w:pPr>
            <w:r>
              <w:rPr>
                <w:b/>
              </w:rPr>
              <w:t>Percent Complete</w:t>
            </w:r>
          </w:p>
        </w:tc>
        <w:tc>
          <w:tcPr>
            <w:tcW w:w="1248" w:type="dxa"/>
          </w:tcPr>
          <w:p w:rsidR="00FE3457" w:rsidRDefault="005268B9" w14:paraId="34DF59EA" w14:textId="77777777">
            <w:pPr>
              <w:keepNext/>
              <w:widowControl w:val="false"/>
              <w:spacing w:after="0" w:line="240" w:lineRule="auto"/>
              <w:rPr>
                <w:b/>
              </w:rPr>
            </w:pPr>
            <w:r>
              <w:rPr>
                <w:b/>
              </w:rPr>
              <w:t>Expected – Program Year</w:t>
            </w:r>
          </w:p>
        </w:tc>
        <w:tc>
          <w:tcPr>
            <w:tcW w:w="1248" w:type="dxa"/>
          </w:tcPr>
          <w:p w:rsidR="00FE3457" w:rsidRDefault="005268B9" w14:paraId="5C70BACA" w14:textId="77777777">
            <w:pPr>
              <w:keepNext/>
              <w:widowControl w:val="false"/>
              <w:spacing w:after="0" w:line="240" w:lineRule="auto"/>
              <w:rPr>
                <w:b/>
              </w:rPr>
            </w:pPr>
            <w:r>
              <w:rPr>
                <w:b/>
              </w:rPr>
              <w:t>Actual – Program Year</w:t>
            </w:r>
          </w:p>
        </w:tc>
        <w:tc>
          <w:tcPr>
            <w:tcW w:w="1248" w:type="dxa"/>
          </w:tcPr>
          <w:p w:rsidR="00FE3457" w:rsidRDefault="005268B9" w14:paraId="05A6B130" w14:textId="77777777">
            <w:pPr>
              <w:keepNext/>
              <w:widowControl w:val="false"/>
              <w:spacing w:after="0" w:line="240" w:lineRule="auto"/>
              <w:rPr>
                <w:b/>
              </w:rPr>
            </w:pPr>
            <w:r>
              <w:rPr>
                <w:b/>
              </w:rPr>
              <w:t>Percent Complete</w:t>
            </w:r>
          </w:p>
        </w:tc>
      </w:tr>
      <w:tr>
        <w:trPr>
          <w:cantSplit w:val="true"/>
        </w:trPr>
        <w:tc>
          <w:tcPr>
            <w:vAlign w:val="center"/>
          </w:tcPr>
          <w:p>
            <w:pPr>
              <w:spacing w:beforeAutospacing="true" w:afterAutospacing="true"/>
              <w:jc w:val="left"/>
            </w:pPr>
            <w:r>
              <w:rPr>
                <w:rFonts w:ascii="Calibri" w:hAnsi="Calibri"/>
                <w:color w:val="000000"/>
                <w:sz w:val="22"/>
              </w:rPr>
              <w:t xml:space="preserve">AMS-1 Overall Coordination</w:t>
            </w:r>
          </w:p>
        </w:tc>
        <w:tc>
          <w:tcPr>
            <w:vAlign w:val="center"/>
          </w:tcPr>
          <w:p>
            <w:pPr>
              <w:spacing w:beforeAutospacing="true" w:afterAutospacing="true"/>
              <w:jc w:val="left"/>
            </w:pPr>
            <w:r>
              <w:rPr>
                <w:rFonts w:ascii="Calibri" w:hAnsi="Calibri"/>
                <w:color w:val="000000"/>
                <w:sz w:val="22"/>
              </w:rPr>
              <w:t xml:space="preserve">Administration</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10</w:t>
            </w:r>
          </w:p>
        </w:tc>
        <w:tc>
          <w:tcPr>
            <w:vAlign w:val="center"/>
          </w:tcPr>
          <w:p>
            <w:pPr>
              <w:spacing w:beforeAutospacing="true" w:afterAutospacing="true"/>
              <w:jc w:val="left"/>
            </w:pPr>
            <w:r>
              <w:rPr>
                <w:rFonts w:ascii="Calibri" w:hAnsi="Calibri"/>
                <w:color w:val="000000"/>
                <w:sz w:val="22"/>
              </w:rPr>
              <w:t xml:space="preserve">2</w:t>
            </w:r>
          </w:p>
        </w:tc>
        <w:tc>
          <w:tcPr>
            <w:vAlign w:val="center"/>
          </w:tcPr>
          <w:p>
            <w:pPr>
              <w:spacing w:beforeAutospacing="true" w:afterAutospacing="true"/>
              <w:jc w:val="left"/>
            </w:pPr>
            <w:r>
              <w:rPr>
                <w:rFonts w:ascii="Calibri" w:hAnsi="Calibri"/>
                <w:color w:val="000000"/>
                <w:sz w:val="22"/>
              </w:rPr>
              <w:t xml:space="preserve">        20.00%</w:t>
            </w:r>
          </w:p>
        </w:tc>
        <w:tc>
          <w:tcPr>
            <w:vAlign w:val="center"/>
          </w:tcPr>
          <w:p>
            <w:pPr>
              <w:spacing w:beforeAutospacing="true" w:afterAutospacing="true"/>
              <w:jc w:val="left"/>
            </w:pPr>
            <w:r>
              <w:rPr>
                <w:rFonts w:ascii="Calibri" w:hAnsi="Calibri"/>
                <w:color w:val="000000"/>
                <w:sz w:val="22"/>
              </w:rPr>
              <w:t xml:space="preserve">2</w:t>
            </w:r>
          </w:p>
        </w:tc>
        <w:tc>
          <w:tcPr>
            <w:vAlign w:val="center"/>
          </w:tcPr>
          <w:p>
            <w:pPr>
              <w:spacing w:beforeAutospacing="true" w:afterAutospacing="true"/>
              <w:jc w:val="left"/>
            </w:pPr>
            <w:r>
              <w:rPr>
                <w:rFonts w:ascii="Calibri" w:hAnsi="Calibri"/>
                <w:color w:val="000000"/>
                <w:sz w:val="22"/>
              </w:rPr>
              <w:t xml:space="preserve">2</w:t>
            </w:r>
          </w:p>
        </w:tc>
        <w:tc>
          <w:tcPr>
            <w:vAlign w:val="center"/>
          </w:tcPr>
          <w:p>
            <w:pPr>
              <w:spacing w:beforeAutospacing="true" w:afterAutospacing="true"/>
              <w:jc w:val="left"/>
            </w:pPr>
            <w:r>
              <w:rPr>
                <w:rFonts w:ascii="Calibri" w:hAnsi="Calibri"/>
                <w:color w:val="000000"/>
                <w:sz w:val="22"/>
              </w:rPr>
              <w:t xml:space="preserve">       100.00%</w:t>
            </w:r>
          </w:p>
        </w:tc>
      </w:tr>
      <w:tr>
        <w:trPr>
          <w:cantSplit w:val="true"/>
        </w:trPr>
        <w:tc>
          <w:tcPr>
            <w:vAlign w:val="center"/>
          </w:tcPr>
          <w:p>
            <w:pPr>
              <w:spacing w:beforeAutospacing="true" w:afterAutospacing="true"/>
              <w:jc w:val="left"/>
            </w:pPr>
            <w:r>
              <w:rPr>
                <w:rFonts w:ascii="Calibri" w:hAnsi="Calibri"/>
                <w:color w:val="000000"/>
                <w:sz w:val="22"/>
              </w:rPr>
              <w:t xml:space="preserve">AMS-2 Fair Housing</w:t>
            </w:r>
          </w:p>
        </w:tc>
        <w:tc>
          <w:tcPr>
            <w:vAlign w:val="center"/>
          </w:tcPr>
          <w:p>
            <w:pPr>
              <w:spacing w:beforeAutospacing="true" w:afterAutospacing="true"/>
              <w:jc w:val="left"/>
            </w:pPr>
            <w:r>
              <w:rPr>
                <w:rFonts w:ascii="Calibri" w:hAnsi="Calibri"/>
                <w:color w:val="000000"/>
                <w:sz w:val="22"/>
              </w:rPr>
              <w:t xml:space="preserve">Administration</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5</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        20.00%</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       100.00%</w:t>
            </w:r>
          </w:p>
        </w:tc>
      </w:tr>
      <w:tr>
        <w:trPr>
          <w:cantSplit w:val="true"/>
        </w:trPr>
        <w:tc>
          <w:tcPr>
            <w:vAlign w:val="center"/>
          </w:tcPr>
          <w:p>
            <w:pPr>
              <w:spacing w:beforeAutospacing="true" w:afterAutospacing="true"/>
              <w:jc w:val="left"/>
            </w:pPr>
            <w:r>
              <w:rPr>
                <w:rFonts w:ascii="Calibri" w:hAnsi="Calibri"/>
                <w:color w:val="000000"/>
                <w:sz w:val="22"/>
              </w:rPr>
              <w:t xml:space="preserve">CDS-1 Neighborhood Revitalization</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Facility or Infrastructure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CDS-1 Neighborhood Revitalization</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Facility or Infrastructure Activities for Low/Moderate Income Housing Benefit</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CDS-1 Neighborhood Revitalization</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CDS-2 Community Facilities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Facility or Infrastructure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13900</w:t>
            </w:r>
          </w:p>
        </w:tc>
        <w:tc>
          <w:tcPr>
            <w:vAlign w:val="center"/>
          </w:tcPr>
          <w:p>
            <w:pPr>
              <w:spacing w:beforeAutospacing="true" w:afterAutospacing="true"/>
              <w:jc w:val="left"/>
            </w:pPr>
            <w:r>
              <w:rPr>
                <w:rFonts w:ascii="Calibri" w:hAnsi="Calibri"/>
                <w:color w:val="000000"/>
                <w:sz w:val="22"/>
              </w:rPr>
              <w:t xml:space="preserve">726</w:t>
            </w:r>
          </w:p>
        </w:tc>
        <w:tc>
          <w:tcPr>
            <w:vAlign w:val="center"/>
          </w:tcPr>
          <w:p>
            <w:pPr>
              <w:spacing w:beforeAutospacing="true" w:afterAutospacing="true"/>
              <w:jc w:val="left"/>
            </w:pPr>
            <w:r>
              <w:rPr>
                <w:rFonts w:ascii="Calibri" w:hAnsi="Calibri"/>
                <w:color w:val="000000"/>
                <w:sz w:val="22"/>
              </w:rPr>
              <w:t xml:space="preserve">         5.22%</w:t>
            </w:r>
          </w:p>
        </w:tc>
        <w:tc>
          <w:tcPr>
            <w:vAlign w:val="center"/>
          </w:tcPr>
          <w:p>
            <w:pPr>
              <w:spacing w:beforeAutospacing="true" w:afterAutospacing="true"/>
              <w:jc w:val="left"/>
            </w:pPr>
            <w:r>
              <w:rPr>
                <w:rFonts w:ascii="Calibri" w:hAnsi="Calibri"/>
                <w:color w:val="000000"/>
                <w:sz w:val="22"/>
              </w:rPr>
              <w:t xml:space="preserve">3900</w:t>
            </w:r>
          </w:p>
        </w:tc>
        <w:tc>
          <w:tcPr>
            <w:vAlign w:val="center"/>
          </w:tcPr>
          <w:p>
            <w:pPr>
              <w:spacing w:beforeAutospacing="true" w:afterAutospacing="true"/>
              <w:jc w:val="left"/>
            </w:pPr>
            <w:r>
              <w:rPr>
                <w:rFonts w:ascii="Calibri" w:hAnsi="Calibri"/>
                <w:color w:val="000000"/>
                <w:sz w:val="22"/>
              </w:rPr>
              <w:t xml:space="preserve">726</w:t>
            </w:r>
          </w:p>
        </w:tc>
        <w:tc>
          <w:tcPr>
            <w:vAlign w:val="center"/>
          </w:tcPr>
          <w:p>
            <w:pPr>
              <w:spacing w:beforeAutospacing="true" w:afterAutospacing="true"/>
              <w:jc w:val="left"/>
            </w:pPr>
            <w:r>
              <w:rPr>
                <w:rFonts w:ascii="Calibri" w:hAnsi="Calibri"/>
                <w:color w:val="000000"/>
                <w:sz w:val="22"/>
              </w:rPr>
              <w:t xml:space="preserve">        18.62%</w:t>
            </w:r>
          </w:p>
        </w:tc>
      </w:tr>
      <w:tr>
        <w:trPr>
          <w:cantSplit w:val="true"/>
        </w:trPr>
        <w:tc>
          <w:tcPr>
            <w:vAlign w:val="center"/>
          </w:tcPr>
          <w:p>
            <w:pPr>
              <w:spacing w:beforeAutospacing="true" w:afterAutospacing="true"/>
              <w:jc w:val="left"/>
            </w:pPr>
            <w:r>
              <w:rPr>
                <w:rFonts w:ascii="Calibri" w:hAnsi="Calibri"/>
                <w:color w:val="000000"/>
                <w:sz w:val="22"/>
              </w:rPr>
              <w:t xml:space="preserve">CDS-2 Community Facilities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Homeless Person Overnight Shelter</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641</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641</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CDS-2 Community Facilities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Overnight/Emergency Shelter/Transitional Housing Beds added</w:t>
            </w:r>
          </w:p>
        </w:tc>
        <w:tc>
          <w:tcPr>
            <w:vAlign w:val="center"/>
          </w:tcPr>
          <w:p>
            <w:pPr>
              <w:spacing w:beforeAutospacing="true" w:afterAutospacing="true"/>
              <w:jc w:val="left"/>
            </w:pPr>
            <w:r>
              <w:rPr>
                <w:rFonts w:ascii="Calibri" w:hAnsi="Calibri"/>
                <w:color w:val="000000"/>
                <w:sz w:val="22"/>
              </w:rPr>
              <w:t xml:space="preserve">Beds</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75</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75</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CDS-3 Infrastructure</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Facility or Infrastructure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10912</w:t>
            </w:r>
          </w:p>
        </w:tc>
        <w:tc>
          <w:tcPr>
            <w:vAlign w:val="center"/>
          </w:tcPr>
          <w:p>
            <w:pPr>
              <w:spacing w:beforeAutospacing="true" w:afterAutospacing="true"/>
              <w:jc w:val="left"/>
            </w:pPr>
            <w:r>
              <w:rPr>
                <w:rFonts w:ascii="Calibri" w:hAnsi="Calibri"/>
                <w:color w:val="000000"/>
                <w:sz w:val="22"/>
              </w:rPr>
              <w:t xml:space="preserve">3881</w:t>
            </w:r>
          </w:p>
        </w:tc>
        <w:tc>
          <w:tcPr>
            <w:vAlign w:val="center"/>
          </w:tcPr>
          <w:p>
            <w:pPr>
              <w:spacing w:beforeAutospacing="true" w:afterAutospacing="true"/>
              <w:jc w:val="left"/>
            </w:pPr>
            <w:r>
              <w:rPr>
                <w:rFonts w:ascii="Calibri" w:hAnsi="Calibri"/>
                <w:color w:val="000000"/>
                <w:sz w:val="22"/>
              </w:rPr>
              <w:t xml:space="preserve">        35.57%</w:t>
            </w:r>
          </w:p>
        </w:tc>
        <w:tc>
          <w:tcPr>
            <w:vAlign w:val="center"/>
          </w:tcPr>
          <w:p>
            <w:pPr>
              <w:spacing w:beforeAutospacing="true" w:afterAutospacing="true"/>
              <w:jc w:val="left"/>
            </w:pPr>
            <w:r>
              <w:rPr>
                <w:rFonts w:ascii="Calibri" w:hAnsi="Calibri"/>
                <w:color w:val="000000"/>
                <w:sz w:val="22"/>
              </w:rPr>
              <w:t xml:space="preserve">2912</w:t>
            </w:r>
          </w:p>
        </w:tc>
        <w:tc>
          <w:tcPr>
            <w:vAlign w:val="center"/>
          </w:tcPr>
          <w:p>
            <w:pPr>
              <w:spacing w:beforeAutospacing="true" w:afterAutospacing="true"/>
              <w:jc w:val="left"/>
            </w:pPr>
            <w:r>
              <w:rPr>
                <w:rFonts w:ascii="Calibri" w:hAnsi="Calibri"/>
                <w:color w:val="000000"/>
                <w:sz w:val="22"/>
              </w:rPr>
              <w:t xml:space="preserve">3881</w:t>
            </w:r>
          </w:p>
        </w:tc>
        <w:tc>
          <w:tcPr>
            <w:vAlign w:val="center"/>
          </w:tcPr>
          <w:p>
            <w:pPr>
              <w:spacing w:beforeAutospacing="true" w:afterAutospacing="true"/>
              <w:jc w:val="left"/>
            </w:pPr>
            <w:r>
              <w:rPr>
                <w:rFonts w:ascii="Calibri" w:hAnsi="Calibri"/>
                <w:color w:val="000000"/>
                <w:sz w:val="22"/>
              </w:rPr>
              <w:t xml:space="preserve">       133.28%</w:t>
            </w:r>
          </w:p>
        </w:tc>
      </w:tr>
      <w:tr>
        <w:trPr>
          <w:cantSplit w:val="true"/>
        </w:trPr>
        <w:tc>
          <w:tcPr>
            <w:vAlign w:val="center"/>
          </w:tcPr>
          <w:p>
            <w:pPr>
              <w:spacing w:beforeAutospacing="true" w:afterAutospacing="true"/>
              <w:jc w:val="left"/>
            </w:pPr>
            <w:r>
              <w:rPr>
                <w:rFonts w:ascii="Calibri" w:hAnsi="Calibri"/>
                <w:color w:val="000000"/>
                <w:sz w:val="22"/>
              </w:rPr>
              <w:t xml:space="preserve">CDS-4 Public Services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70441</w:t>
            </w:r>
          </w:p>
        </w:tc>
        <w:tc>
          <w:tcPr>
            <w:vAlign w:val="center"/>
          </w:tcPr>
          <w:p>
            <w:pPr>
              <w:spacing w:beforeAutospacing="true" w:afterAutospacing="true"/>
              <w:jc w:val="left"/>
            </w:pPr>
            <w:r>
              <w:rPr>
                <w:rFonts w:ascii="Calibri" w:hAnsi="Calibri"/>
                <w:color w:val="000000"/>
                <w:sz w:val="22"/>
              </w:rPr>
              <w:t xml:space="preserve">51350</w:t>
            </w:r>
          </w:p>
        </w:tc>
        <w:tc>
          <w:tcPr>
            <w:vAlign w:val="center"/>
          </w:tcPr>
          <w:p>
            <w:pPr>
              <w:spacing w:beforeAutospacing="true" w:afterAutospacing="true"/>
              <w:jc w:val="left"/>
            </w:pPr>
            <w:r>
              <w:rPr>
                <w:rFonts w:ascii="Calibri" w:hAnsi="Calibri"/>
                <w:color w:val="000000"/>
                <w:sz w:val="22"/>
              </w:rPr>
              <w:t xml:space="preserve">        72.90%</w:t>
            </w:r>
          </w:p>
        </w:tc>
        <w:tc>
          <w:tcPr>
            <w:vAlign w:val="center"/>
          </w:tcPr>
          <w:p>
            <w:pPr>
              <w:spacing w:beforeAutospacing="true" w:afterAutospacing="true"/>
              <w:jc w:val="left"/>
            </w:pPr>
            <w:r>
              <w:rPr>
                <w:rFonts w:ascii="Calibri" w:hAnsi="Calibri"/>
                <w:color w:val="000000"/>
                <w:sz w:val="22"/>
              </w:rPr>
              <w:t xml:space="preserve">14441</w:t>
            </w:r>
          </w:p>
        </w:tc>
        <w:tc>
          <w:tcPr>
            <w:vAlign w:val="center"/>
          </w:tcPr>
          <w:p>
            <w:pPr>
              <w:spacing w:beforeAutospacing="true" w:afterAutospacing="true"/>
              <w:jc w:val="left"/>
            </w:pPr>
            <w:r>
              <w:rPr>
                <w:rFonts w:ascii="Calibri" w:hAnsi="Calibri"/>
                <w:color w:val="000000"/>
                <w:sz w:val="22"/>
              </w:rPr>
              <w:t xml:space="preserve">51350</w:t>
            </w:r>
          </w:p>
        </w:tc>
        <w:tc>
          <w:tcPr>
            <w:vAlign w:val="center"/>
          </w:tcPr>
          <w:p>
            <w:pPr>
              <w:spacing w:beforeAutospacing="true" w:afterAutospacing="true"/>
              <w:jc w:val="left"/>
            </w:pPr>
            <w:r>
              <w:rPr>
                <w:rFonts w:ascii="Calibri" w:hAnsi="Calibri"/>
                <w:color w:val="000000"/>
                <w:sz w:val="22"/>
              </w:rPr>
              <w:t xml:space="preserve">       355.58%</w:t>
            </w:r>
          </w:p>
        </w:tc>
      </w:tr>
      <w:tr>
        <w:trPr>
          <w:cantSplit w:val="true"/>
        </w:trPr>
        <w:tc>
          <w:tcPr>
            <w:vAlign w:val="center"/>
          </w:tcPr>
          <w:p>
            <w:pPr>
              <w:spacing w:beforeAutospacing="true" w:afterAutospacing="true"/>
              <w:jc w:val="left"/>
            </w:pPr>
            <w:r>
              <w:rPr>
                <w:rFonts w:ascii="Calibri" w:hAnsi="Calibri"/>
                <w:color w:val="000000"/>
                <w:sz w:val="22"/>
              </w:rPr>
              <w:t xml:space="preserve">CDS-4 Public Services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Homeless Person Overnight Shelter</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71</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71</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CDS-4 Public Services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Overnight/Emergency Shelter/Transitional Housing Beds added</w:t>
            </w:r>
          </w:p>
        </w:tc>
        <w:tc>
          <w:tcPr>
            <w:vAlign w:val="center"/>
          </w:tcPr>
          <w:p>
            <w:pPr>
              <w:spacing w:beforeAutospacing="true" w:afterAutospacing="true"/>
              <w:jc w:val="left"/>
            </w:pPr>
            <w:r>
              <w:rPr>
                <w:rFonts w:ascii="Calibri" w:hAnsi="Calibri"/>
                <w:color w:val="000000"/>
                <w:sz w:val="22"/>
              </w:rPr>
              <w:t xml:space="preserve">Beds</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CDS-5 Public Safety</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3</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CDS-6 Clearance/Demolition</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Buildings Demolished</w:t>
            </w:r>
          </w:p>
        </w:tc>
        <w:tc>
          <w:tcPr>
            <w:vAlign w:val="center"/>
          </w:tcPr>
          <w:p>
            <w:pPr>
              <w:spacing w:beforeAutospacing="true" w:afterAutospacing="true"/>
              <w:jc w:val="left"/>
            </w:pPr>
            <w:r>
              <w:rPr>
                <w:rFonts w:ascii="Calibri" w:hAnsi="Calibri"/>
                <w:color w:val="000000"/>
                <w:sz w:val="22"/>
              </w:rPr>
              <w:t xml:space="preserve">Buildings</w:t>
            </w:r>
          </w:p>
        </w:tc>
        <w:tc>
          <w:tcPr>
            <w:vAlign w:val="center"/>
          </w:tcPr>
          <w:p>
            <w:pPr>
              <w:spacing w:beforeAutospacing="true" w:afterAutospacing="true"/>
              <w:jc w:val="left"/>
            </w:pPr>
            <w:r>
              <w:rPr>
                <w:rFonts w:ascii="Calibri" w:hAnsi="Calibri"/>
                <w:color w:val="000000"/>
                <w:sz w:val="22"/>
              </w:rPr>
              <w:t xml:space="preserve">6</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EDS-1 Employment</w:t>
            </w:r>
          </w:p>
        </w:tc>
        <w:tc>
          <w:tcPr>
            <w:vAlign w:val="center"/>
          </w:tcPr>
          <w:p>
            <w:pPr>
              <w:spacing w:beforeAutospacing="true" w:afterAutospacing="true"/>
              <w:jc w:val="left"/>
            </w:pPr>
            <w:r>
              <w:rPr>
                <w:rFonts w:ascii="Calibri" w:hAnsi="Calibri"/>
                <w:color w:val="000000"/>
                <w:sz w:val="22"/>
              </w:rPr>
              <w:t xml:space="preserve">Non-Housing Community Development</w:t>
            </w:r>
            <w:r>
              <w:rPr>
                <w:rFonts w:ascii="Calibri" w:hAnsi="Calibri"/>
                <w:color w:val="000000"/>
                <w:sz w:val="22"/>
              </w:rPr>
              <w:br/>
              <w:t xml:space="preserve"/>
            </w:r>
            <w:r>
              <w:rPr>
                <w:rFonts w:ascii="Calibri" w:hAnsi="Calibri"/>
                <w:color w:val="000000"/>
                <w:sz w:val="22"/>
              </w:rPr>
              <w:t xml:space="preserve">Economic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EDS-1 Employment</w:t>
            </w:r>
          </w:p>
        </w:tc>
        <w:tc>
          <w:tcPr>
            <w:vAlign w:val="center"/>
          </w:tcPr>
          <w:p>
            <w:pPr>
              <w:spacing w:beforeAutospacing="true" w:afterAutospacing="true"/>
              <w:jc w:val="left"/>
            </w:pPr>
            <w:r>
              <w:rPr>
                <w:rFonts w:ascii="Calibri" w:hAnsi="Calibri"/>
                <w:color w:val="000000"/>
                <w:sz w:val="22"/>
              </w:rPr>
              <w:t xml:space="preserve">Non-Housing Community Development</w:t>
            </w:r>
            <w:r>
              <w:rPr>
                <w:rFonts w:ascii="Calibri" w:hAnsi="Calibri"/>
                <w:color w:val="000000"/>
                <w:sz w:val="22"/>
              </w:rPr>
              <w:br/>
              <w:t xml:space="preserve"/>
            </w:r>
            <w:r>
              <w:rPr>
                <w:rFonts w:ascii="Calibri" w:hAnsi="Calibri"/>
                <w:color w:val="000000"/>
                <w:sz w:val="22"/>
              </w:rPr>
              <w:t xml:space="preserve">Economic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service activities for Low/Moderate Income Housing Benefit</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EDS-1 Employment</w:t>
            </w:r>
          </w:p>
        </w:tc>
        <w:tc>
          <w:tcPr>
            <w:vAlign w:val="center"/>
          </w:tcPr>
          <w:p>
            <w:pPr>
              <w:spacing w:beforeAutospacing="true" w:afterAutospacing="true"/>
              <w:jc w:val="left"/>
            </w:pPr>
            <w:r>
              <w:rPr>
                <w:rFonts w:ascii="Calibri" w:hAnsi="Calibri"/>
                <w:color w:val="000000"/>
                <w:sz w:val="22"/>
              </w:rPr>
              <w:t xml:space="preserve">Non-Housing Community Development</w:t>
            </w:r>
            <w:r>
              <w:rPr>
                <w:rFonts w:ascii="Calibri" w:hAnsi="Calibri"/>
                <w:color w:val="000000"/>
                <w:sz w:val="22"/>
              </w:rPr>
              <w:br/>
              <w:t xml:space="preserve"/>
            </w:r>
            <w:r>
              <w:rPr>
                <w:rFonts w:ascii="Calibri" w:hAnsi="Calibri"/>
                <w:color w:val="000000"/>
                <w:sz w:val="22"/>
              </w:rPr>
              <w:t xml:space="preserve">Economic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Jobs created/retained</w:t>
            </w:r>
          </w:p>
        </w:tc>
        <w:tc>
          <w:tcPr>
            <w:vAlign w:val="center"/>
          </w:tcPr>
          <w:p>
            <w:pPr>
              <w:spacing w:beforeAutospacing="true" w:afterAutospacing="true"/>
              <w:jc w:val="left"/>
            </w:pPr>
            <w:r>
              <w:rPr>
                <w:rFonts w:ascii="Calibri" w:hAnsi="Calibri"/>
                <w:color w:val="000000"/>
                <w:sz w:val="22"/>
              </w:rPr>
              <w:t xml:space="preserve">Jobs</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EDS-1 Employment</w:t>
            </w:r>
          </w:p>
        </w:tc>
        <w:tc>
          <w:tcPr>
            <w:vAlign w:val="center"/>
          </w:tcPr>
          <w:p>
            <w:pPr>
              <w:spacing w:beforeAutospacing="true" w:afterAutospacing="true"/>
              <w:jc w:val="left"/>
            </w:pPr>
            <w:r>
              <w:rPr>
                <w:rFonts w:ascii="Calibri" w:hAnsi="Calibri"/>
                <w:color w:val="000000"/>
                <w:sz w:val="22"/>
              </w:rPr>
              <w:t xml:space="preserve">Non-Housing Community Development</w:t>
            </w:r>
            <w:r>
              <w:rPr>
                <w:rFonts w:ascii="Calibri" w:hAnsi="Calibri"/>
                <w:color w:val="000000"/>
                <w:sz w:val="22"/>
              </w:rPr>
              <w:br/>
              <w:t xml:space="preserve"/>
            </w:r>
            <w:r>
              <w:rPr>
                <w:rFonts w:ascii="Calibri" w:hAnsi="Calibri"/>
                <w:color w:val="000000"/>
                <w:sz w:val="22"/>
              </w:rPr>
              <w:t xml:space="preserve">Economic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Businesses assisted</w:t>
            </w:r>
          </w:p>
        </w:tc>
        <w:tc>
          <w:tcPr>
            <w:vAlign w:val="center"/>
          </w:tcPr>
          <w:p>
            <w:pPr>
              <w:spacing w:beforeAutospacing="true" w:afterAutospacing="true"/>
              <w:jc w:val="left"/>
            </w:pPr>
            <w:r>
              <w:rPr>
                <w:rFonts w:ascii="Calibri" w:hAnsi="Calibri"/>
                <w:color w:val="000000"/>
                <w:sz w:val="22"/>
              </w:rPr>
              <w:t xml:space="preserve">Businesses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EDS-2 Development</w:t>
            </w:r>
          </w:p>
        </w:tc>
        <w:tc>
          <w:tcPr>
            <w:vAlign w:val="center"/>
          </w:tcPr>
          <w:p>
            <w:pPr>
              <w:spacing w:beforeAutospacing="true" w:afterAutospacing="true"/>
              <w:jc w:val="left"/>
            </w:pPr>
            <w:r>
              <w:rPr>
                <w:rFonts w:ascii="Calibri" w:hAnsi="Calibri"/>
                <w:color w:val="000000"/>
                <w:sz w:val="22"/>
              </w:rPr>
              <w:t xml:space="preserve">Non-Housing Community Development</w:t>
            </w:r>
            <w:r>
              <w:rPr>
                <w:rFonts w:ascii="Calibri" w:hAnsi="Calibri"/>
                <w:color w:val="000000"/>
                <w:sz w:val="22"/>
              </w:rPr>
              <w:br/>
              <w:t xml:space="preserve"/>
            </w:r>
            <w:r>
              <w:rPr>
                <w:rFonts w:ascii="Calibri" w:hAnsi="Calibri"/>
                <w:color w:val="000000"/>
                <w:sz w:val="22"/>
              </w:rPr>
              <w:t xml:space="preserve">Economic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service activities for Low/Moderate Income Housing Benefit</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EDS-2 Development</w:t>
            </w:r>
          </w:p>
        </w:tc>
        <w:tc>
          <w:tcPr>
            <w:vAlign w:val="center"/>
          </w:tcPr>
          <w:p>
            <w:pPr>
              <w:spacing w:beforeAutospacing="true" w:afterAutospacing="true"/>
              <w:jc w:val="left"/>
            </w:pPr>
            <w:r>
              <w:rPr>
                <w:rFonts w:ascii="Calibri" w:hAnsi="Calibri"/>
                <w:color w:val="000000"/>
                <w:sz w:val="22"/>
              </w:rPr>
              <w:t xml:space="preserve">Non-Housing Community Development</w:t>
            </w:r>
            <w:r>
              <w:rPr>
                <w:rFonts w:ascii="Calibri" w:hAnsi="Calibri"/>
                <w:color w:val="000000"/>
                <w:sz w:val="22"/>
              </w:rPr>
              <w:br/>
              <w:t xml:space="preserve"/>
            </w:r>
            <w:r>
              <w:rPr>
                <w:rFonts w:ascii="Calibri" w:hAnsi="Calibri"/>
                <w:color w:val="000000"/>
                <w:sz w:val="22"/>
              </w:rPr>
              <w:t xml:space="preserve">Economic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Facade treatment/business building rehabilitation</w:t>
            </w:r>
          </w:p>
        </w:tc>
        <w:tc>
          <w:tcPr>
            <w:vAlign w:val="center"/>
          </w:tcPr>
          <w:p>
            <w:pPr>
              <w:spacing w:beforeAutospacing="true" w:afterAutospacing="true"/>
              <w:jc w:val="left"/>
            </w:pPr>
            <w:r>
              <w:rPr>
                <w:rFonts w:ascii="Calibri" w:hAnsi="Calibri"/>
                <w:color w:val="000000"/>
                <w:sz w:val="22"/>
              </w:rPr>
              <w:t xml:space="preserve">Business</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EDS-2 Development</w:t>
            </w:r>
          </w:p>
        </w:tc>
        <w:tc>
          <w:tcPr>
            <w:vAlign w:val="center"/>
          </w:tcPr>
          <w:p>
            <w:pPr>
              <w:spacing w:beforeAutospacing="true" w:afterAutospacing="true"/>
              <w:jc w:val="left"/>
            </w:pPr>
            <w:r>
              <w:rPr>
                <w:rFonts w:ascii="Calibri" w:hAnsi="Calibri"/>
                <w:color w:val="000000"/>
                <w:sz w:val="22"/>
              </w:rPr>
              <w:t xml:space="preserve">Non-Housing Community Development</w:t>
            </w:r>
            <w:r>
              <w:rPr>
                <w:rFonts w:ascii="Calibri" w:hAnsi="Calibri"/>
                <w:color w:val="000000"/>
                <w:sz w:val="22"/>
              </w:rPr>
              <w:br/>
              <w:t xml:space="preserve"/>
            </w:r>
            <w:r>
              <w:rPr>
                <w:rFonts w:ascii="Calibri" w:hAnsi="Calibri"/>
                <w:color w:val="000000"/>
                <w:sz w:val="22"/>
              </w:rPr>
              <w:t xml:space="preserve">Economic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Jobs created/retained</w:t>
            </w:r>
          </w:p>
        </w:tc>
        <w:tc>
          <w:tcPr>
            <w:vAlign w:val="center"/>
          </w:tcPr>
          <w:p>
            <w:pPr>
              <w:spacing w:beforeAutospacing="true" w:afterAutospacing="true"/>
              <w:jc w:val="left"/>
            </w:pPr>
            <w:r>
              <w:rPr>
                <w:rFonts w:ascii="Calibri" w:hAnsi="Calibri"/>
                <w:color w:val="000000"/>
                <w:sz w:val="22"/>
              </w:rPr>
              <w:t xml:space="preserve">Jobs</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EDS-2 Development</w:t>
            </w:r>
          </w:p>
        </w:tc>
        <w:tc>
          <w:tcPr>
            <w:vAlign w:val="center"/>
          </w:tcPr>
          <w:p>
            <w:pPr>
              <w:spacing w:beforeAutospacing="true" w:afterAutospacing="true"/>
              <w:jc w:val="left"/>
            </w:pPr>
            <w:r>
              <w:rPr>
                <w:rFonts w:ascii="Calibri" w:hAnsi="Calibri"/>
                <w:color w:val="000000"/>
                <w:sz w:val="22"/>
              </w:rPr>
              <w:t xml:space="preserve">Non-Housing Community Development</w:t>
            </w:r>
            <w:r>
              <w:rPr>
                <w:rFonts w:ascii="Calibri" w:hAnsi="Calibri"/>
                <w:color w:val="000000"/>
                <w:sz w:val="22"/>
              </w:rPr>
              <w:br/>
              <w:t xml:space="preserve"/>
            </w:r>
            <w:r>
              <w:rPr>
                <w:rFonts w:ascii="Calibri" w:hAnsi="Calibri"/>
                <w:color w:val="000000"/>
                <w:sz w:val="22"/>
              </w:rPr>
              <w:t xml:space="preserve">Economic Development</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Businesses assisted</w:t>
            </w:r>
          </w:p>
        </w:tc>
        <w:tc>
          <w:tcPr>
            <w:vAlign w:val="center"/>
          </w:tcPr>
          <w:p>
            <w:pPr>
              <w:spacing w:beforeAutospacing="true" w:afterAutospacing="true"/>
              <w:jc w:val="left"/>
            </w:pPr>
            <w:r>
              <w:rPr>
                <w:rFonts w:ascii="Calibri" w:hAnsi="Calibri"/>
                <w:color w:val="000000"/>
                <w:sz w:val="22"/>
              </w:rPr>
              <w:t xml:space="preserve">Businesses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HMS-1 Housing</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HMS-1 Housing</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service activities for Low/Moderate Income Housing Benefit</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HMS-1 Housing</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Tenant-based rental assistance / Rapid Rehousing</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HMS-1 Housing</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Homeless Person Overnight Shelter</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HMS-1 Housing</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Overnight/Emergency Shelter/Transitional Housing Beds added</w:t>
            </w:r>
          </w:p>
        </w:tc>
        <w:tc>
          <w:tcPr>
            <w:vAlign w:val="center"/>
          </w:tcPr>
          <w:p>
            <w:pPr>
              <w:spacing w:beforeAutospacing="true" w:afterAutospacing="true"/>
              <w:jc w:val="left"/>
            </w:pPr>
            <w:r>
              <w:rPr>
                <w:rFonts w:ascii="Calibri" w:hAnsi="Calibri"/>
                <w:color w:val="000000"/>
                <w:sz w:val="22"/>
              </w:rPr>
              <w:t xml:space="preserve">Beds</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HMS-1 Housing</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Homelessness Prevention</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HMS-1 Housing</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HMS-2 Operation/Support</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400</w:t>
            </w:r>
          </w:p>
        </w:tc>
        <w:tc>
          <w:tcPr>
            <w:vAlign w:val="center"/>
          </w:tcPr>
          <w:p>
            <w:pPr>
              <w:spacing w:beforeAutospacing="true" w:afterAutospacing="true"/>
              <w:jc w:val="left"/>
            </w:pPr>
            <w:r>
              <w:rPr>
                <w:rFonts w:ascii="Calibri" w:hAnsi="Calibri"/>
                <w:color w:val="000000"/>
                <w:sz w:val="22"/>
              </w:rPr>
              <w:t xml:space="preserve">179</w:t>
            </w:r>
          </w:p>
        </w:tc>
        <w:tc>
          <w:tcPr>
            <w:vAlign w:val="center"/>
          </w:tcPr>
          <w:p>
            <w:pPr>
              <w:spacing w:beforeAutospacing="true" w:afterAutospacing="true"/>
              <w:jc w:val="left"/>
            </w:pPr>
            <w:r>
              <w:rPr>
                <w:rFonts w:ascii="Calibri" w:hAnsi="Calibri"/>
                <w:color w:val="000000"/>
                <w:sz w:val="22"/>
              </w:rPr>
              <w:t xml:space="preserve">        44.75%</w:t>
            </w:r>
          </w:p>
        </w:tc>
        <w:tc>
          <w:tcPr>
            <w:vAlign w:val="center"/>
          </w:tcPr>
          <w:p>
            <w:pPr>
              <w:spacing w:beforeAutospacing="true" w:afterAutospacing="true"/>
              <w:jc w:val="left"/>
            </w:pPr>
            <w:r>
              <w:rPr>
                <w:rFonts w:ascii="Calibri" w:hAnsi="Calibri"/>
                <w:color w:val="000000"/>
                <w:sz w:val="22"/>
              </w:rPr>
              <w:t xml:space="preserve">134</w:t>
            </w:r>
          </w:p>
        </w:tc>
        <w:tc>
          <w:tcPr>
            <w:vAlign w:val="center"/>
          </w:tcPr>
          <w:p>
            <w:pPr>
              <w:spacing w:beforeAutospacing="true" w:afterAutospacing="true"/>
              <w:jc w:val="left"/>
            </w:pPr>
            <w:r>
              <w:rPr>
                <w:rFonts w:ascii="Calibri" w:hAnsi="Calibri"/>
                <w:color w:val="000000"/>
                <w:sz w:val="22"/>
              </w:rPr>
              <w:t xml:space="preserve">179</w:t>
            </w:r>
          </w:p>
        </w:tc>
        <w:tc>
          <w:tcPr>
            <w:vAlign w:val="center"/>
          </w:tcPr>
          <w:p>
            <w:pPr>
              <w:spacing w:beforeAutospacing="true" w:afterAutospacing="true"/>
              <w:jc w:val="left"/>
            </w:pPr>
            <w:r>
              <w:rPr>
                <w:rFonts w:ascii="Calibri" w:hAnsi="Calibri"/>
                <w:color w:val="000000"/>
                <w:sz w:val="22"/>
              </w:rPr>
              <w:t xml:space="preserve">       133.58%</w:t>
            </w:r>
          </w:p>
        </w:tc>
      </w:tr>
      <w:tr>
        <w:trPr>
          <w:cantSplit w:val="true"/>
        </w:trPr>
        <w:tc>
          <w:tcPr>
            <w:vAlign w:val="center"/>
          </w:tcPr>
          <w:p>
            <w:pPr>
              <w:spacing w:beforeAutospacing="true" w:afterAutospacing="true"/>
              <w:jc w:val="left"/>
            </w:pPr>
            <w:r>
              <w:rPr>
                <w:rFonts w:ascii="Calibri" w:hAnsi="Calibri"/>
                <w:color w:val="000000"/>
                <w:sz w:val="22"/>
              </w:rPr>
              <w:t xml:space="preserve">HMS-2 Operation/Support</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Homeless Person Overnight Shelter</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HMS-2 Operation/Support</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Overnight/Emergency Shelter/Transitional Housing Beds added</w:t>
            </w:r>
          </w:p>
        </w:tc>
        <w:tc>
          <w:tcPr>
            <w:vAlign w:val="center"/>
          </w:tcPr>
          <w:p>
            <w:pPr>
              <w:spacing w:beforeAutospacing="true" w:afterAutospacing="true"/>
              <w:jc w:val="left"/>
            </w:pPr>
            <w:r>
              <w:rPr>
                <w:rFonts w:ascii="Calibri" w:hAnsi="Calibri"/>
                <w:color w:val="000000"/>
                <w:sz w:val="22"/>
              </w:rPr>
              <w:t xml:space="preserve">Beds</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HMS-3 Prevention and Re-Housing</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400</w:t>
            </w:r>
          </w:p>
        </w:tc>
        <w:tc>
          <w:tcPr>
            <w:vAlign w:val="center"/>
          </w:tcPr>
          <w:p>
            <w:pPr>
              <w:spacing w:beforeAutospacing="true" w:afterAutospacing="true"/>
              <w:jc w:val="left"/>
            </w:pPr>
            <w:r>
              <w:rPr>
                <w:rFonts w:ascii="Calibri" w:hAnsi="Calibri"/>
                <w:color w:val="000000"/>
                <w:sz w:val="22"/>
              </w:rPr>
              <w:t xml:space="preserve">156</w:t>
            </w:r>
          </w:p>
        </w:tc>
        <w:tc>
          <w:tcPr>
            <w:vAlign w:val="center"/>
          </w:tcPr>
          <w:p>
            <w:pPr>
              <w:spacing w:beforeAutospacing="true" w:afterAutospacing="true"/>
              <w:jc w:val="left"/>
            </w:pPr>
            <w:r>
              <w:rPr>
                <w:rFonts w:ascii="Calibri" w:hAnsi="Calibri"/>
                <w:color w:val="000000"/>
                <w:sz w:val="22"/>
              </w:rPr>
              <w:t xml:space="preserve">        39.00%</w:t>
            </w:r>
          </w:p>
        </w:tc>
        <w:tc>
          <w:tcPr>
            <w:vAlign w:val="center"/>
          </w:tcPr>
          <w:p>
            <w:pPr>
              <w:spacing w:beforeAutospacing="true" w:afterAutospacing="true"/>
              <w:jc w:val="left"/>
            </w:pPr>
            <w:r>
              <w:rPr>
                <w:rFonts w:ascii="Calibri" w:hAnsi="Calibri"/>
                <w:color w:val="000000"/>
                <w:sz w:val="22"/>
              </w:rPr>
              <w:t xml:space="preserve">80</w:t>
            </w:r>
          </w:p>
        </w:tc>
        <w:tc>
          <w:tcPr>
            <w:vAlign w:val="center"/>
          </w:tcPr>
          <w:p>
            <w:pPr>
              <w:spacing w:beforeAutospacing="true" w:afterAutospacing="true"/>
              <w:jc w:val="left"/>
            </w:pPr>
            <w:r>
              <w:rPr>
                <w:rFonts w:ascii="Calibri" w:hAnsi="Calibri"/>
                <w:color w:val="000000"/>
                <w:sz w:val="22"/>
              </w:rPr>
              <w:t xml:space="preserve">156</w:t>
            </w:r>
          </w:p>
        </w:tc>
        <w:tc>
          <w:tcPr>
            <w:vAlign w:val="center"/>
          </w:tcPr>
          <w:p>
            <w:pPr>
              <w:spacing w:beforeAutospacing="true" w:afterAutospacing="true"/>
              <w:jc w:val="left"/>
            </w:pPr>
            <w:r>
              <w:rPr>
                <w:rFonts w:ascii="Calibri" w:hAnsi="Calibri"/>
                <w:color w:val="000000"/>
                <w:sz w:val="22"/>
              </w:rPr>
              <w:t xml:space="preserve">       195.00%</w:t>
            </w:r>
          </w:p>
        </w:tc>
      </w:tr>
      <w:tr>
        <w:trPr>
          <w:cantSplit w:val="true"/>
        </w:trPr>
        <w:tc>
          <w:tcPr>
            <w:vAlign w:val="center"/>
          </w:tcPr>
          <w:p>
            <w:pPr>
              <w:spacing w:beforeAutospacing="true" w:afterAutospacing="true"/>
              <w:jc w:val="left"/>
            </w:pPr>
            <w:r>
              <w:rPr>
                <w:rFonts w:ascii="Calibri" w:hAnsi="Calibri"/>
                <w:color w:val="000000"/>
                <w:sz w:val="22"/>
              </w:rPr>
              <w:t xml:space="preserve">HMS-3 Prevention and Re-Housing</w:t>
            </w:r>
          </w:p>
        </w:tc>
        <w:tc>
          <w:tcPr>
            <w:vAlign w:val="center"/>
          </w:tcPr>
          <w:p>
            <w:pPr>
              <w:spacing w:beforeAutospacing="true" w:afterAutospacing="true"/>
              <w:jc w:val="left"/>
            </w:pPr>
            <w:r>
              <w:rPr>
                <w:rFonts w:ascii="Calibri" w:hAnsi="Calibri"/>
                <w:color w:val="000000"/>
                <w:sz w:val="22"/>
              </w:rPr>
              <w:t xml:space="preserve">Homeless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Homeless Person Overnight Shelter</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HSS-1 Homeownership</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Homeowner Housing Added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8</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HSS-1 Homeownership</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Direct Financial Assistance to Homebuyers</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75</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10</w:t>
            </w:r>
          </w:p>
        </w:tc>
        <w:tc>
          <w:tcPr>
            <w:vAlign w:val="center"/>
          </w:tcPr>
          <w:p>
            <w:pPr>
              <w:spacing w:beforeAutospacing="true" w:afterAutospacing="true"/>
              <w:jc w:val="left"/>
            </w:pPr>
            <w:r>
              <w:rPr>
                <w:rFonts w:ascii="Calibri" w:hAnsi="Calibri"/>
                <w:color w:val="000000"/>
                <w:sz w:val="22"/>
              </w:rPr>
              <w:t xml:space="preserve">8</w:t>
            </w:r>
          </w:p>
        </w:tc>
        <w:tc>
          <w:tcPr>
            <w:vAlign w:val="center"/>
          </w:tcPr>
          <w:p>
            <w:pPr>
              <w:spacing w:beforeAutospacing="true" w:afterAutospacing="true"/>
              <w:jc w:val="left"/>
            </w:pPr>
            <w:r>
              <w:rPr>
                <w:rFonts w:ascii="Calibri" w:hAnsi="Calibri"/>
                <w:color w:val="000000"/>
                <w:sz w:val="22"/>
              </w:rPr>
              <w:t xml:space="preserve">        80.00%</w:t>
            </w:r>
          </w:p>
        </w:tc>
      </w:tr>
      <w:tr>
        <w:trPr>
          <w:cantSplit w:val="true"/>
        </w:trPr>
        <w:tc>
          <w:tcPr>
            <w:vAlign w:val="center"/>
          </w:tcPr>
          <w:p>
            <w:pPr>
              <w:spacing w:beforeAutospacing="true" w:afterAutospacing="true"/>
              <w:jc w:val="left"/>
            </w:pPr>
            <w:r>
              <w:rPr>
                <w:rFonts w:ascii="Calibri" w:hAnsi="Calibri"/>
                <w:color w:val="000000"/>
                <w:sz w:val="22"/>
              </w:rPr>
              <w:t xml:space="preserve">HSS-2 Housing Rehabilitation</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Homeowner Housing Rehabilitated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50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10</w:t>
            </w:r>
          </w:p>
        </w:tc>
        <w:tc>
          <w:tcPr>
            <w:vAlign w:val="center"/>
          </w:tcPr>
          <w:p>
            <w:pPr>
              <w:spacing w:beforeAutospacing="true" w:afterAutospacing="true"/>
              <w:jc w:val="left"/>
            </w:pPr>
            <w:r>
              <w:rPr>
                <w:rFonts w:ascii="Calibri" w:hAnsi="Calibri"/>
                <w:color w:val="000000"/>
                <w:sz w:val="22"/>
              </w:rPr>
              <w:t xml:space="preserve">8</w:t>
            </w:r>
          </w:p>
        </w:tc>
        <w:tc>
          <w:tcPr>
            <w:vAlign w:val="center"/>
          </w:tcPr>
          <w:p>
            <w:pPr>
              <w:spacing w:beforeAutospacing="true" w:afterAutospacing="true"/>
              <w:jc w:val="left"/>
            </w:pPr>
            <w:r>
              <w:rPr>
                <w:rFonts w:ascii="Calibri" w:hAnsi="Calibri"/>
                <w:color w:val="000000"/>
                <w:sz w:val="22"/>
              </w:rPr>
              <w:t xml:space="preserve">        80.00%</w:t>
            </w:r>
          </w:p>
        </w:tc>
      </w:tr>
      <w:tr>
        <w:trPr>
          <w:cantSplit w:val="true"/>
        </w:trPr>
        <w:tc>
          <w:tcPr>
            <w:vAlign w:val="center"/>
          </w:tcPr>
          <w:p>
            <w:pPr>
              <w:spacing w:beforeAutospacing="true" w:afterAutospacing="true"/>
              <w:jc w:val="left"/>
            </w:pPr>
            <w:r>
              <w:rPr>
                <w:rFonts w:ascii="Calibri" w:hAnsi="Calibri"/>
                <w:color w:val="000000"/>
                <w:sz w:val="22"/>
              </w:rPr>
              <w:t xml:space="preserve">HSS-3 Housing Construction</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HOME: $</w:t>
            </w:r>
          </w:p>
        </w:tc>
        <w:tc>
          <w:tcPr>
            <w:vAlign w:val="center"/>
          </w:tcPr>
          <w:p>
            <w:pPr>
              <w:spacing w:beforeAutospacing="true" w:afterAutospacing="true"/>
              <w:jc w:val="left"/>
            </w:pPr>
            <w:r>
              <w:rPr>
                <w:rFonts w:ascii="Calibri" w:hAnsi="Calibri"/>
                <w:color w:val="000000"/>
                <w:sz w:val="22"/>
              </w:rPr>
              <w:t xml:space="preserve">Homeowner Housing Added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5</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HSS-4 Rent and Utility Assistance</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103</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103</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HSS-4 Rent and Utility Assistance</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Homeless Person Overnight Shelter</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HSS-4 Rent and Utility Assistance</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Homelessness Prevention</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600</w:t>
            </w:r>
          </w:p>
        </w:tc>
        <w:tc>
          <w:tcPr>
            <w:vAlign w:val="center"/>
          </w:tcPr>
          <w:p>
            <w:pPr>
              <w:spacing w:beforeAutospacing="true" w:afterAutospacing="true"/>
              <w:jc w:val="left"/>
            </w:pPr>
            <w:r>
              <w:rPr>
                <w:rFonts w:ascii="Calibri" w:hAnsi="Calibri"/>
                <w:color w:val="000000"/>
                <w:sz w:val="22"/>
              </w:rPr>
              <w:t xml:space="preserve">103</w:t>
            </w:r>
          </w:p>
        </w:tc>
        <w:tc>
          <w:tcPr>
            <w:vAlign w:val="center"/>
          </w:tcPr>
          <w:p>
            <w:pPr>
              <w:spacing w:beforeAutospacing="true" w:afterAutospacing="true"/>
              <w:jc w:val="left"/>
            </w:pPr>
            <w:r>
              <w:rPr>
                <w:rFonts w:ascii="Calibri" w:hAnsi="Calibri"/>
                <w:color w:val="000000"/>
                <w:sz w:val="22"/>
              </w:rPr>
              <w:t xml:space="preserve">        17.17%</w:t>
            </w:r>
          </w:p>
        </w:tc>
        <w:tc>
          <w:tcPr>
            <w:vAlign w:val="center"/>
          </w:tcPr>
          <w:p>
            <w:pPr>
              <w:spacing w:beforeAutospacing="true" w:afterAutospacing="true"/>
              <w:jc w:val="left"/>
            </w:pPr>
            <w:r>
              <w:rPr>
                <w:rFonts w:ascii="Calibri" w:hAnsi="Calibri"/>
                <w:color w:val="000000"/>
                <w:sz w:val="22"/>
              </w:rPr>
              <w:t xml:space="preserve">69</w:t>
            </w:r>
          </w:p>
        </w:tc>
        <w:tc>
          <w:tcPr>
            <w:vAlign w:val="center"/>
          </w:tcPr>
          <w:p>
            <w:pPr>
              <w:spacing w:beforeAutospacing="true" w:afterAutospacing="true"/>
              <w:jc w:val="left"/>
            </w:pPr>
            <w:r>
              <w:rPr>
                <w:rFonts w:ascii="Calibri" w:hAnsi="Calibri"/>
                <w:color w:val="000000"/>
                <w:sz w:val="22"/>
              </w:rPr>
              <w:t xml:space="preserve">103</w:t>
            </w:r>
          </w:p>
        </w:tc>
        <w:tc>
          <w:tcPr>
            <w:vAlign w:val="center"/>
          </w:tcPr>
          <w:p>
            <w:pPr>
              <w:spacing w:beforeAutospacing="true" w:afterAutospacing="true"/>
              <w:jc w:val="left"/>
            </w:pPr>
            <w:r>
              <w:rPr>
                <w:rFonts w:ascii="Calibri" w:hAnsi="Calibri"/>
                <w:color w:val="000000"/>
                <w:sz w:val="22"/>
              </w:rPr>
              <w:t xml:space="preserve">       149.28%</w:t>
            </w:r>
          </w:p>
        </w:tc>
      </w:tr>
      <w:tr>
        <w:trPr>
          <w:cantSplit w:val="true"/>
        </w:trPr>
        <w:tc>
          <w:tcPr>
            <w:vAlign w:val="center"/>
          </w:tcPr>
          <w:p>
            <w:pPr>
              <w:spacing w:beforeAutospacing="true" w:afterAutospacing="true"/>
              <w:jc w:val="left"/>
            </w:pPr>
            <w:r>
              <w:rPr>
                <w:rFonts w:ascii="Calibri" w:hAnsi="Calibri"/>
                <w:color w:val="000000"/>
                <w:sz w:val="22"/>
              </w:rPr>
              <w:t xml:space="preserve">SNS-1 Housing</w:t>
            </w:r>
          </w:p>
        </w:tc>
        <w:tc>
          <w:tcPr>
            <w:vAlign w:val="center"/>
          </w:tcPr>
          <w:p>
            <w:pPr>
              <w:spacing w:beforeAutospacing="true" w:afterAutospacing="true"/>
              <w:jc w:val="left"/>
            </w:pP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SNS-1 Housing</w:t>
            </w:r>
          </w:p>
        </w:tc>
        <w:tc>
          <w:tcPr>
            <w:vAlign w:val="center"/>
          </w:tcPr>
          <w:p>
            <w:pPr>
              <w:spacing w:beforeAutospacing="true" w:afterAutospacing="true"/>
              <w:jc w:val="left"/>
            </w:pP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service activities for Low/Moderate Income Housing Benefit</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SNS-2 Services/Facilities</w:t>
            </w:r>
          </w:p>
        </w:tc>
        <w:tc>
          <w:tcPr>
            <w:vAlign w:val="center"/>
          </w:tcPr>
          <w:p>
            <w:pPr>
              <w:spacing w:beforeAutospacing="true" w:afterAutospacing="true"/>
              <w:jc w:val="left"/>
            </w:pP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1830</w:t>
            </w:r>
          </w:p>
        </w:tc>
        <w:tc>
          <w:tcPr>
            <w:vAlign w:val="center"/>
          </w:tcPr>
          <w:p>
            <w:pPr>
              <w:spacing w:beforeAutospacing="true" w:afterAutospacing="true"/>
              <w:jc w:val="left"/>
            </w:pPr>
            <w:r>
              <w:rPr>
                <w:rFonts w:ascii="Calibri" w:hAnsi="Calibri"/>
                <w:color w:val="000000"/>
                <w:sz w:val="22"/>
              </w:rPr>
              <w:t xml:space="preserve">746</w:t>
            </w:r>
          </w:p>
        </w:tc>
        <w:tc>
          <w:tcPr>
            <w:vAlign w:val="center"/>
          </w:tcPr>
          <w:p>
            <w:pPr>
              <w:spacing w:beforeAutospacing="true" w:afterAutospacing="true"/>
              <w:jc w:val="left"/>
            </w:pPr>
            <w:r>
              <w:rPr>
                <w:rFonts w:ascii="Calibri" w:hAnsi="Calibri"/>
                <w:color w:val="000000"/>
                <w:sz w:val="22"/>
              </w:rPr>
              <w:t xml:space="preserve">        40.77%</w:t>
            </w:r>
          </w:p>
        </w:tc>
        <w:tc>
          <w:tcPr>
            <w:vAlign w:val="center"/>
          </w:tcPr>
          <w:p>
            <w:pPr>
              <w:spacing w:beforeAutospacing="true" w:afterAutospacing="true"/>
              <w:jc w:val="left"/>
            </w:pPr>
            <w:r>
              <w:rPr>
                <w:rFonts w:ascii="Calibri" w:hAnsi="Calibri"/>
                <w:color w:val="000000"/>
                <w:sz w:val="22"/>
              </w:rPr>
              <w:t xml:space="preserve">431</w:t>
            </w:r>
          </w:p>
        </w:tc>
        <w:tc>
          <w:tcPr>
            <w:vAlign w:val="center"/>
          </w:tcPr>
          <w:p>
            <w:pPr>
              <w:spacing w:beforeAutospacing="true" w:afterAutospacing="true"/>
              <w:jc w:val="left"/>
            </w:pPr>
            <w:r>
              <w:rPr>
                <w:rFonts w:ascii="Calibri" w:hAnsi="Calibri"/>
                <w:color w:val="000000"/>
                <w:sz w:val="22"/>
              </w:rPr>
              <w:t xml:space="preserve">746</w:t>
            </w:r>
          </w:p>
        </w:tc>
        <w:tc>
          <w:tcPr>
            <w:vAlign w:val="center"/>
          </w:tcPr>
          <w:p>
            <w:pPr>
              <w:spacing w:beforeAutospacing="true" w:afterAutospacing="true"/>
              <w:jc w:val="left"/>
            </w:pPr>
            <w:r>
              <w:rPr>
                <w:rFonts w:ascii="Calibri" w:hAnsi="Calibri"/>
                <w:color w:val="000000"/>
                <w:sz w:val="22"/>
              </w:rPr>
              <w:t xml:space="preserve">       173.09%</w:t>
            </w:r>
          </w:p>
        </w:tc>
      </w:tr>
      <w:tr>
        <w:trPr>
          <w:cantSplit w:val="true"/>
        </w:trPr>
        <w:tc>
          <w:tcPr>
            <w:vAlign w:val="center"/>
          </w:tcPr>
          <w:p>
            <w:pPr>
              <w:spacing w:beforeAutospacing="true" w:afterAutospacing="true"/>
              <w:jc w:val="left"/>
            </w:pPr>
            <w:r>
              <w:rPr>
                <w:rFonts w:ascii="Calibri" w:hAnsi="Calibri"/>
                <w:color w:val="000000"/>
                <w:sz w:val="22"/>
              </w:rPr>
              <w:t xml:space="preserve">SNS-2 Services/Facilities</w:t>
            </w:r>
          </w:p>
        </w:tc>
        <w:tc>
          <w:tcPr>
            <w:vAlign w:val="center"/>
          </w:tcPr>
          <w:p>
            <w:pPr>
              <w:spacing w:beforeAutospacing="true" w:afterAutospacing="true"/>
              <w:jc w:val="left"/>
            </w:pPr>
            <w:r>
              <w:rPr>
                <w:rFonts w:ascii="Calibri" w:hAnsi="Calibri"/>
                <w:color w:val="000000"/>
                <w:sz w:val="22"/>
              </w:rPr>
              <w:t xml:space="preserve">Non-Homeless Special Needs</w:t>
            </w:r>
          </w:p>
        </w:tc>
        <w:tc>
          <w:tcPr>
            <w:vAlign w:val="center"/>
          </w:tcPr>
          <w:p>
            <w:pPr>
              <w:spacing w:beforeAutospacing="true" w:afterAutospacing="true"/>
              <w:jc w:val="left"/>
            </w:pPr>
            <w:r>
              <w:rPr>
                <w:rFonts w:ascii="Calibri" w:hAnsi="Calibri"/>
                <w:color w:val="000000"/>
                <w:sz w:val="22"/>
              </w:rPr>
              <w:t xml:space="preserve">CDBG: $ / HOME: $</w:t>
            </w:r>
          </w:p>
        </w:tc>
        <w:tc>
          <w:tcPr>
            <w:vAlign w:val="center"/>
          </w:tcPr>
          <w:p>
            <w:pPr>
              <w:spacing w:beforeAutospacing="true" w:afterAutospacing="true"/>
              <w:jc w:val="left"/>
            </w:pPr>
            <w:r>
              <w:rPr>
                <w:rFonts w:ascii="Calibri" w:hAnsi="Calibri"/>
                <w:color w:val="000000"/>
                <w:sz w:val="22"/>
              </w:rPr>
              <w:t xml:space="preserve">Homeless Person Overnight Shelter</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590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590</w:t>
            </w:r>
          </w:p>
        </w:tc>
        <w:tc>
          <w:tcPr>
            <w:vAlign w:val="center"/>
          </w:tcPr>
          <w:p>
            <w:pPr>
              <w:spacing w:beforeAutospacing="true" w:afterAutospacing="true"/>
              <w:jc w:val="left"/>
            </w:pPr>
            <w:r>
              <w:rPr>
                <w:rFonts w:ascii="Calibri" w:hAnsi="Calibri"/>
                <w:color w:val="000000"/>
                <w:sz w:val="22"/>
              </w:rPr>
              <w:t xml:space="preserve"> </w:t>
            </w:r>
          </w:p>
        </w:tc>
      </w:tr>
    </w:tbl>
    <w:p w:rsidR="00FE3457" w:rsidRDefault="005268B9" w14:paraId="3D1BA4F3"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Accomplishments – Program Year &amp; Strategic Plan to Date</w:t>
      </w:r>
    </w:p>
    <w:p w:rsidR="00FE3457" w:rsidRDefault="00FE3457" w14:paraId="3656B9AB" w14:textId="77777777"/>
    <w:p w:rsidR="00FE3457" w:rsidRDefault="00FE3457" w14:paraId="45FB0818" w14:textId="77777777">
      <w:pPr>
        <w:spacing w:after="0" w:line="240" w:lineRule="auto"/>
      </w:pPr>
    </w:p>
    <w:p w:rsidR="00FE3457" w:rsidRDefault="005268B9" w14:paraId="5070F06F" w14:textId="77777777">
      <w:pPr>
        <w:keepNext/>
        <w:widowControl w:val="false"/>
        <w:rPr>
          <w:b/>
          <w:sz w:val="24"/>
          <w:szCs w:val="24"/>
        </w:rPr>
      </w:pPr>
      <w:r>
        <w:rPr>
          <w:b/>
          <w:sz w:val="24"/>
          <w:szCs w:val="24"/>
        </w:rPr>
        <w:t>Assess how the jurisdiction’s use of funds, particularly CDBG, addresses the priorities and specific objectives identified in the plan, giving special attention to the highest priority activities identified.</w:t>
      </w:r>
    </w:p>
    <w:p>
      <w:pPr>
        <w:keepNext/>
        <w:widowControl w:val="false"/>
        <w:spacing w:beforeAutospacing="true" w:afterAutospacing="true"/>
      </w:pPr>
      <w:r>
        <w:rPr/>
        <w:t xml:space="preserve">Reducing lead-based paint hazards, assisting homebuyers with the purchase of their first home, partnering with the Charleston-Kanawha Housing Authority’s Family Self-Sufficiency Program, rehabilitating owner-occupied homes, providing funding assistance for transitional housing, and supporting homeless shelters were all high priority housing needs for the City.  The City obligated 15% of its 2025 CDBG entitlement funds for public service activities; including housing support, homeless services, substance abuse, day care, after school, health care, counseling, job training, and hot meal programs to the benefit of the City’s low- and moderate-income individuals and families.  The City worked to meet as many of the identified needs as possible and treated the clientele and stakeholders fairly and with respect, all while working within the guidelines of the governing financial assistance programs. Also, all activities were completed by the end of the year.</w:t>
      </w:r>
    </w:p>
    <w:p>
      <w:pPr>
        <w:keepNext/>
        <w:widowControl w:val="false"/>
        <w:spacing w:beforeAutospacing="true" w:afterAutospacing="true"/>
      </w:pPr>
      <w:r>
        <w:rPr/>
        <w:t xml:space="preserve">Most of our goals were exceeded this year, with the exception of the following: </w:t>
      </w:r>
    </w:p>
    <w:p>
      <w:pPr>
        <w:keepNext/>
        <w:widowControl w:val="false"/>
        <w:numPr>
          <w:ilvl w:val="0"/>
          <w:numId w:val="3"/>
        </w:numPr>
        <w:spacing w:beforeAutospacing="true" w:afterAutospacing="true"/>
      </w:pPr>
      <w:r>
        <w:rPr/>
        <w:t xml:space="preserve">CDS-2 Community Facilities - One of our community facilities had their building put up for sale during this fiscal year, which was not anticipated, and resulted in significantly lower numbers of individuals being served.</w:t>
      </w:r>
    </w:p>
    <w:p>
      <w:pPr>
        <w:keepNext/>
        <w:widowControl w:val="false"/>
        <w:numPr>
          <w:ilvl w:val="0"/>
          <w:numId w:val="3"/>
        </w:numPr>
        <w:spacing w:beforeAutospacing="true" w:afterAutospacing="true"/>
      </w:pPr>
      <w:r>
        <w:rPr/>
        <w:t xml:space="preserve">HSS-1 Homeownership - During 2025, our HOME-Blend Program, which assists low-to-moderate income inividuals purchase their first home, missed their goal by two, with eight individuals/families being assisted.</w:t>
      </w:r>
    </w:p>
    <w:p>
      <w:pPr>
        <w:keepNext/>
        <w:widowControl w:val="false"/>
        <w:numPr>
          <w:ilvl w:val="0"/>
          <w:numId w:val="3"/>
        </w:numPr>
        <w:spacing w:beforeAutospacing="true" w:afterAutospacing="true"/>
      </w:pPr>
      <w:r>
        <w:rPr/>
        <w:t xml:space="preserve">HSS-2 Housing Rehabilitation - Our Owner-Occupied Rehabilitation Program also missed their goal by two, with eight home rehabilitations completed this year.</w:t>
      </w:r>
    </w:p>
    <w:p w:rsidR="00FE3457" w:rsidRDefault="00FE3457" w14:paraId="049F31CB" w14:textId="77777777">
      <w:pPr>
        <w:keepNext/>
        <w:widowControl w:val="false"/>
        <w:spacing w:line="204" w:lineRule="auto"/>
        <w:rPr>
          <w:b/>
          <w:sz w:val="24"/>
          <w:szCs w:val="24"/>
        </w:rPr>
      </w:pPr>
    </w:p>
    <w:p w:rsidR="00FE3457" w:rsidRDefault="00FE3457" w14:paraId="53128261" w14:textId="77777777">
      <w:pPr>
        <w:rPr>
          <w:b/>
          <w:i/>
          <w:sz w:val="26"/>
          <w:szCs w:val="26"/>
        </w:rPr>
        <w:sectPr w:rsidR="00FE3457">
          <w:footerReference w:type="default" r:id="rId8"/>
          <w:pgSz w:w="15840" w:h="12240" w:orient="landscape"/>
          <w:pgMar w:top="1440" w:right="1440" w:bottom="1440" w:left="1440" w:header="720" w:footer="720" w:gutter="0"/>
          <w:cols w:space="720"/>
          <w:docGrid w:linePitch="360"/>
        </w:sectPr>
      </w:pPr>
    </w:p>
    <w:p w:rsidR="00FE3457" w:rsidRDefault="005268B9" w14:paraId="4426B484" w14:textId="77777777">
      <w:pPr>
        <w:pStyle w:val="Heading2"/>
        <w:rPr>
          <w:rFonts w:asciiTheme="minorHAnsi" w:hAnsiTheme="minorHAnsi"/>
          <w:i w:val="false"/>
        </w:rPr>
      </w:pPr>
      <w:bookmarkStart w:name="_Toc309810474" w:id="0"/>
      <w:r>
        <w:rPr>
          <w:rFonts w:asciiTheme="minorHAnsi" w:hAnsiTheme="minorHAnsi"/>
          <w:i w:val="false"/>
        </w:rPr>
        <w:t>CR-10 - Racial and Ethnic composition of families assisted</w:t>
      </w:r>
    </w:p>
    <w:p w:rsidR="00FE3457" w:rsidRDefault="005268B9" w14:paraId="60D22818" w14:textId="77777777">
      <w:pPr>
        <w:keepNext/>
        <w:widowControl w:val="false"/>
        <w:rPr>
          <w:b/>
          <w:sz w:val="24"/>
          <w:szCs w:val="24"/>
        </w:rPr>
      </w:pPr>
      <w:r>
        <w:rPr>
          <w:b/>
          <w:sz w:val="24"/>
          <w:szCs w:val="24"/>
        </w:rPr>
        <w:t xml:space="preserve">Describe the families assisted (including the racial and ethnic status of families assisted). 91.520(a) </w:t>
      </w:r>
    </w:p>
    <w:p w:rsidR="00FE3457" w:rsidRDefault="00FE3457" w14:paraId="62486C05" w14:textId="77777777">
      <w:pPr>
        <w:widowControl w:val="false"/>
        <w:spacing w:after="0" w:line="240" w:lineRule="auto"/>
        <w:rPr>
          <w:b/>
          <w:vanish/>
          <w:sz w:val="24"/>
          <w:szCs w:val="24"/>
        </w:rPr>
      </w:pPr>
    </w:p>
    <w:p w:rsidR="00FE3457" w:rsidRDefault="00FE3457" w14:paraId="1FC39945" w14:textId="77777777">
      <w:pPr>
        <w:pStyle w:val="NoSpacing"/>
        <w:rPr>
          <w:vanish/>
        </w:rPr>
      </w:pPr>
    </w:p>
    <w:p w:rsidR="00FE3457" w:rsidRDefault="00FE3457" w14:paraId="2946DB82" w14:textId="77777777">
      <w:pPr>
        <w:pStyle w:val="NoSpacing"/>
        <w:rPr>
          <w:vanish/>
        </w:rPr>
      </w:pPr>
    </w:p>
    <w:p w:rsidR="00FE3457" w:rsidRDefault="00FE3457" w14:paraId="61CDCEAD" w14:textId="77777777">
      <w:pPr>
        <w:pStyle w:val="NoSpacing"/>
        <w:rPr>
          <w:vanish/>
        </w:rPr>
      </w:pPr>
    </w:p>
    <w:p w:rsidR="00FE3457" w:rsidRDefault="00FE3457" w14:paraId="6DFB9E20" w14:textId="77777777">
      <w:pPr>
        <w:pStyle w:val="NoSpacing"/>
        <w:rPr>
          <w:vanish/>
        </w:rPr>
      </w:pPr>
    </w:p>
    <w:p w:rsidR="00FE3457" w:rsidRDefault="00FE3457" w14:paraId="637805D2" w14:textId="77777777">
      <w:pPr>
        <w:pStyle w:val="NoSpacing"/>
        <w:rPr>
          <w:vanish/>
        </w:rPr>
      </w:pPr>
    </w:p>
    <w:p w:rsidR="00FE3457" w:rsidRDefault="00FE3457" w14:paraId="17AD93B2" w14:textId="77777777">
      <w:pPr>
        <w:pStyle w:val="NoSpacing"/>
        <w:rPr>
          <w:vanish/>
        </w:rPr>
      </w:pPr>
    </w:p>
    <w:p w:rsidR="00FE3457" w:rsidRDefault="00FE3457" w14:paraId="296FEF7D" w14:textId="77777777">
      <w:pPr>
        <w:pStyle w:val="NoSpacing"/>
        <w:rPr>
          <w:vanish/>
        </w:rPr>
      </w:pPr>
    </w:p>
    <w:p w:rsidR="00FE3457" w:rsidRDefault="00FE3457" w14:paraId="36FEB5B0" w14:textId="77777777">
      <w:pPr>
        <w:pStyle w:val="NoSpacing"/>
        <w:rPr>
          <w:vanish/>
        </w:rPr>
      </w:pPr>
    </w:p>
    <w:p w:rsidR="00FE3457" w:rsidRDefault="00FE3457" w14:paraId="238601FE" w14:textId="77777777">
      <w:pPr>
        <w:pStyle w:val="NoSpacing"/>
        <w:rPr>
          <w:vanish/>
        </w:rPr>
      </w:pPr>
    </w:p>
    <w:tbl>
      <w:tblPr>
        <w:tblW w:w="4176"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700"/>
        <w:gridCol w:w="1549"/>
        <w:gridCol w:w="1549"/>
        <w:gridCol w:w="11"/>
      </w:tblGrid>
      <w:tr w:rsidR="00FE3457" w14:paraId="0B7A1865" w14:textId="77777777">
        <w:trPr>
          <w:gridAfter w:val="1"/>
          <w:wAfter w:w="7" w:type="pct"/>
          <w:cantSplit/>
        </w:trPr>
        <w:tc>
          <w:tcPr>
            <w:tcW w:w="3009" w:type="pct"/>
          </w:tcPr>
          <w:p w:rsidR="00FE3457" w:rsidRDefault="00FE3457" w14:paraId="0F3CABC7" w14:textId="77777777">
            <w:pPr>
              <w:spacing w:after="0"/>
              <w:rPr>
                <w:b/>
              </w:rPr>
            </w:pPr>
          </w:p>
        </w:tc>
        <w:tc>
          <w:tcPr>
            <w:tcW w:w="992" w:type="pct"/>
          </w:tcPr>
          <w:p w:rsidR="00FE3457" w:rsidRDefault="005268B9" w14:paraId="777FA52F" w14:textId="77777777">
            <w:pPr>
              <w:spacing w:after="0"/>
              <w:jc w:val="center"/>
              <w:rPr>
                <w:b/>
              </w:rPr>
            </w:pPr>
            <w:r>
              <w:rPr>
                <w:b/>
              </w:rPr>
              <w:t>CDBG</w:t>
            </w:r>
          </w:p>
        </w:tc>
        <w:tc>
          <w:tcPr>
            <w:tcW w:w="992" w:type="pct"/>
          </w:tcPr>
          <w:p w:rsidR="00FE3457" w:rsidRDefault="005268B9" w14:paraId="7D954A12" w14:textId="77777777">
            <w:pPr>
              <w:spacing w:after="0"/>
              <w:jc w:val="center"/>
              <w:rPr>
                <w:b/>
              </w:rPr>
            </w:pPr>
            <w:r>
              <w:rPr>
                <w:b/>
              </w:rPr>
              <w:t>HOME</w:t>
            </w:r>
          </w:p>
        </w:tc>
      </w:tr>
      <w:tr>
        <w:trPr>
          <w:cantSplit w:val="true"/>
        </w:trPr>
        <w:tc>
          <w:tcPr>
            <w:vAlign w:val="bottom"/>
          </w:tcPr>
          <w:p>
            <w:pPr>
              <w:spacing w:beforeAutospacing="true" w:afterAutospacing="true"/>
              <w:jc w:val="left"/>
            </w:pPr>
            <w:r>
              <w:rPr>
                <w:rFonts w:ascii="Calibri" w:hAnsi="Calibri"/>
                <w:color w:val="000000"/>
                <w:sz w:val="22"/>
              </w:rPr>
              <w:t xml:space="preserve">White</w:t>
            </w:r>
          </w:p>
        </w:tc>
        <w:tc>
          <w:tcPr>
            <w:vAlign w:val="bottom"/>
          </w:tcPr>
          <w:p>
            <w:pPr>
              <w:spacing w:beforeAutospacing="true" w:afterAutospacing="true"/>
              <w:jc w:val="right"/>
            </w:pPr>
            <w:r>
              <w:rPr>
                <w:rFonts w:ascii="Calibri" w:hAnsi="Calibri"/>
                <w:color w:val="000000"/>
                <w:sz w:val="22"/>
              </w:rPr>
              <w:t xml:space="preserve">45,988</w:t>
            </w:r>
          </w:p>
        </w:tc>
        <w:tc>
          <w:tcPr>
            <w:vAlign w:val="bottom"/>
          </w:tcPr>
          <w:p>
            <w:pPr>
              <w:spacing w:beforeAutospacing="true" w:afterAutospacing="true"/>
              <w:jc w:val="right"/>
            </w:pPr>
            <w:r>
              <w:rPr>
                <w:rFonts w:ascii="Calibri" w:hAnsi="Calibri"/>
                <w:color w:val="000000"/>
                <w:sz w:val="22"/>
              </w:rPr>
              <w:t xml:space="preserve">23</w:t>
            </w:r>
          </w:p>
        </w:tc>
      </w:tr>
      <w:tr>
        <w:trPr>
          <w:cantSplit w:val="true"/>
        </w:trPr>
        <w:tc>
          <w:tcPr>
            <w:vAlign w:val="bottom"/>
          </w:tcPr>
          <w:p>
            <w:pPr>
              <w:spacing w:beforeAutospacing="true" w:afterAutospacing="true"/>
              <w:jc w:val="left"/>
            </w:pPr>
            <w:r>
              <w:rPr>
                <w:rFonts w:ascii="Calibri" w:hAnsi="Calibri"/>
                <w:color w:val="000000"/>
                <w:sz w:val="22"/>
              </w:rPr>
              <w:t xml:space="preserve">Black or African American</w:t>
            </w:r>
          </w:p>
        </w:tc>
        <w:tc>
          <w:tcPr>
            <w:vAlign w:val="bottom"/>
          </w:tcPr>
          <w:p>
            <w:pPr>
              <w:spacing w:beforeAutospacing="true" w:afterAutospacing="true"/>
              <w:jc w:val="right"/>
            </w:pPr>
            <w:r>
              <w:rPr>
                <w:rFonts w:ascii="Calibri" w:hAnsi="Calibri"/>
                <w:color w:val="000000"/>
                <w:sz w:val="22"/>
              </w:rPr>
              <w:t xml:space="preserve">7,933</w:t>
            </w:r>
          </w:p>
        </w:tc>
        <w:tc>
          <w:tcPr>
            <w:vAlign w:val="bottom"/>
          </w:tcPr>
          <w:p>
            <w:pPr>
              <w:spacing w:beforeAutospacing="true" w:afterAutospacing="true"/>
              <w:jc w:val="right"/>
            </w:pPr>
            <w:r>
              <w:rPr>
                <w:rFonts w:ascii="Calibri" w:hAnsi="Calibri"/>
                <w:color w:val="000000"/>
                <w:sz w:val="22"/>
              </w:rPr>
              <w:t xml:space="preserve">14</w:t>
            </w:r>
          </w:p>
        </w:tc>
      </w:tr>
      <w:tr>
        <w:trPr>
          <w:cantSplit w:val="true"/>
        </w:trPr>
        <w:tc>
          <w:tcPr>
            <w:vAlign w:val="bottom"/>
          </w:tcPr>
          <w:p>
            <w:pPr>
              <w:spacing w:beforeAutospacing="true" w:afterAutospacing="true"/>
              <w:jc w:val="left"/>
            </w:pPr>
            <w:r>
              <w:rPr>
                <w:rFonts w:ascii="Calibri" w:hAnsi="Calibri"/>
                <w:color w:val="000000"/>
                <w:sz w:val="22"/>
              </w:rPr>
              <w:t xml:space="preserve">Asian</w:t>
            </w:r>
          </w:p>
        </w:tc>
        <w:tc>
          <w:tcPr>
            <w:vAlign w:val="bottom"/>
          </w:tcPr>
          <w:p>
            <w:pPr>
              <w:spacing w:beforeAutospacing="true" w:afterAutospacing="true"/>
              <w:jc w:val="right"/>
            </w:pPr>
            <w:r>
              <w:rPr>
                <w:rFonts w:ascii="Calibri" w:hAnsi="Calibri"/>
                <w:color w:val="000000"/>
                <w:sz w:val="22"/>
              </w:rPr>
              <w:t xml:space="preserve">139</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American Indian or American Native</w:t>
            </w:r>
          </w:p>
        </w:tc>
        <w:tc>
          <w:tcPr>
            <w:vAlign w:val="bottom"/>
          </w:tcPr>
          <w:p>
            <w:pPr>
              <w:spacing w:beforeAutospacing="true" w:afterAutospacing="true"/>
              <w:jc w:val="right"/>
            </w:pPr>
            <w:r>
              <w:rPr>
                <w:rFonts w:ascii="Calibri" w:hAnsi="Calibri"/>
                <w:color w:val="000000"/>
                <w:sz w:val="22"/>
              </w:rPr>
              <w:t xml:space="preserve">8</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Native Hawaiian or Other Pacific Islander</w:t>
            </w:r>
          </w:p>
        </w:tc>
        <w:tc>
          <w:tcPr>
            <w:vAlign w:val="bottom"/>
          </w:tcPr>
          <w:p>
            <w:pPr>
              <w:spacing w:beforeAutospacing="true" w:afterAutospacing="true"/>
              <w:jc w:val="right"/>
            </w:pPr>
            <w:r>
              <w:rPr>
                <w:rFonts w:ascii="Calibri" w:hAnsi="Calibri"/>
                <w:color w:val="000000"/>
                <w:sz w:val="22"/>
              </w:rPr>
              <w:t xml:space="preserve">48</w:t>
            </w:r>
          </w:p>
        </w:tc>
        <w:tc>
          <w:tcPr>
            <w:vAlign w:val="bottom"/>
          </w:tcPr>
          <w:p>
            <w:pPr>
              <w:spacing w:beforeAutospacing="true" w:afterAutospacing="true"/>
              <w:jc w:val="right"/>
            </w:pPr>
            <w:r>
              <w:rPr>
                <w:rFonts w:ascii="Calibri" w:hAnsi="Calibri"/>
                <w:color w:val="000000"/>
                <w:sz w:val="22"/>
              </w:rPr>
              <w:t xml:space="preserve">0</w:t>
            </w:r>
          </w:p>
        </w:tc>
      </w:tr>
    </w:tbl>
    <w:p w:rsidR="00FE3457" w:rsidRDefault="00FE3457" w14:paraId="1DA6542E" w14:textId="77777777">
      <w:pPr>
        <w:pStyle w:val="NoSpacing"/>
        <w:rPr>
          <w:vanish/>
        </w:rPr>
      </w:pPr>
    </w:p>
    <w:tbl>
      <w:tblPr>
        <w:tblW w:w="4176"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700"/>
        <w:gridCol w:w="1549"/>
        <w:gridCol w:w="1549"/>
        <w:gridCol w:w="11"/>
      </w:tblGrid>
      <w:tr w:rsidR="00FE3457" w14:paraId="3041E394" w14:textId="77777777">
        <w:trPr>
          <w:gridAfter w:val="1"/>
          <w:wAfter w:w="7" w:type="pct"/>
          <w:cantSplit/>
          <w:hidden/>
        </w:trPr>
        <w:tc>
          <w:tcPr>
            <w:tcW w:w="3009" w:type="pct"/>
          </w:tcPr>
          <w:p w:rsidR="00FE3457" w:rsidRDefault="00FE3457" w14:paraId="722B00AE" w14:textId="77777777">
            <w:pPr>
              <w:keepNext/>
              <w:widowControl w:val="false"/>
              <w:spacing w:after="0" w:line="240" w:lineRule="auto"/>
              <w:rPr>
                <w:vanish/>
              </w:rPr>
            </w:pPr>
          </w:p>
        </w:tc>
        <w:tc>
          <w:tcPr>
            <w:tcW w:w="992" w:type="pct"/>
          </w:tcPr>
          <w:p w:rsidR="00FE3457" w:rsidRDefault="00FE3457" w14:paraId="42C6D796" w14:textId="77777777">
            <w:pPr>
              <w:keepNext/>
              <w:widowControl w:val="false"/>
              <w:spacing w:after="0" w:line="240" w:lineRule="auto"/>
              <w:jc w:val="center"/>
              <w:rPr>
                <w:b/>
                <w:vanish/>
              </w:rPr>
            </w:pPr>
          </w:p>
        </w:tc>
        <w:tc>
          <w:tcPr>
            <w:tcW w:w="992" w:type="pct"/>
          </w:tcPr>
          <w:p w:rsidR="00FE3457" w:rsidRDefault="00FE3457" w14:paraId="6E1831B3" w14:textId="77777777">
            <w:pPr>
              <w:keepNext/>
              <w:widowControl w:val="false"/>
              <w:spacing w:after="0" w:line="240" w:lineRule="auto"/>
              <w:jc w:val="center"/>
              <w:rPr>
                <w:b/>
                <w:vanish/>
              </w:rPr>
            </w:pP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54,116</w:t>
            </w:r>
          </w:p>
        </w:tc>
        <w:tc>
          <w:tcPr>
            <w:vAlign w:val="bottom"/>
          </w:tcPr>
          <w:p>
            <w:pPr>
              <w:spacing w:beforeAutospacing="true" w:afterAutospacing="true"/>
              <w:jc w:val="right"/>
            </w:pPr>
            <w:r>
              <w:rPr>
                <w:rFonts w:ascii="Calibri" w:hAnsi="Calibri"/>
                <w:b/>
                <w:color w:val="000000"/>
                <w:sz w:val="22"/>
              </w:rPr>
              <w:t xml:space="preserve">37</w:t>
            </w:r>
          </w:p>
        </w:tc>
      </w:tr>
    </w:tbl>
    <w:p w:rsidR="00FE3457" w:rsidRDefault="00FE3457" w14:paraId="2DE403A5" w14:textId="77777777">
      <w:pPr>
        <w:pStyle w:val="NoSpacing"/>
        <w:rPr>
          <w:vanish/>
        </w:rPr>
      </w:pPr>
    </w:p>
    <w:tbl>
      <w:tblPr>
        <w:tblW w:w="4176"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700"/>
        <w:gridCol w:w="1549"/>
        <w:gridCol w:w="1549"/>
        <w:gridCol w:w="11"/>
      </w:tblGrid>
      <w:tr w:rsidR="00FE3457" w14:paraId="62431CDC" w14:textId="77777777">
        <w:trPr>
          <w:gridAfter w:val="1"/>
          <w:wAfter w:w="7" w:type="pct"/>
          <w:cantSplit/>
          <w:hidden/>
        </w:trPr>
        <w:tc>
          <w:tcPr>
            <w:tcW w:w="3009" w:type="pct"/>
          </w:tcPr>
          <w:p w:rsidR="00FE3457" w:rsidRDefault="00FE3457" w14:paraId="49E398E2" w14:textId="77777777">
            <w:pPr>
              <w:keepNext/>
              <w:widowControl w:val="false"/>
              <w:spacing w:after="0" w:line="240" w:lineRule="auto"/>
              <w:rPr>
                <w:vanish/>
              </w:rPr>
            </w:pPr>
          </w:p>
        </w:tc>
        <w:tc>
          <w:tcPr>
            <w:tcW w:w="992" w:type="pct"/>
          </w:tcPr>
          <w:p w:rsidR="00FE3457" w:rsidRDefault="00FE3457" w14:paraId="16287F21" w14:textId="77777777">
            <w:pPr>
              <w:keepNext/>
              <w:widowControl w:val="false"/>
              <w:spacing w:after="0" w:line="240" w:lineRule="auto"/>
              <w:jc w:val="center"/>
              <w:rPr>
                <w:b/>
                <w:vanish/>
              </w:rPr>
            </w:pPr>
          </w:p>
        </w:tc>
        <w:tc>
          <w:tcPr>
            <w:tcW w:w="992" w:type="pct"/>
          </w:tcPr>
          <w:p w:rsidR="00FE3457" w:rsidRDefault="00FE3457" w14:paraId="5BE93A62" w14:textId="77777777">
            <w:pPr>
              <w:keepNext/>
              <w:widowControl w:val="false"/>
              <w:spacing w:after="0" w:line="240" w:lineRule="auto"/>
              <w:jc w:val="center"/>
              <w:rPr>
                <w:b/>
                <w:vanish/>
              </w:rPr>
            </w:pPr>
          </w:p>
        </w:tc>
      </w:tr>
      <w:tr>
        <w:trPr>
          <w:cantSplit w:val="true"/>
        </w:trPr>
        <w:tc>
          <w:tcPr>
            <w:vAlign w:val="bottom"/>
          </w:tcPr>
          <w:p>
            <w:pPr>
              <w:spacing w:beforeAutospacing="true" w:afterAutospacing="true"/>
              <w:jc w:val="left"/>
            </w:pPr>
            <w:r>
              <w:rPr>
                <w:rFonts w:ascii="Calibri" w:hAnsi="Calibri"/>
                <w:color w:val="000000"/>
                <w:sz w:val="22"/>
              </w:rPr>
              <w:t xml:space="preserve">Hispanic</w:t>
            </w:r>
          </w:p>
        </w:tc>
        <w:tc>
          <w:tcPr>
            <w:vAlign w:val="bottom"/>
          </w:tcPr>
          <w:p>
            <w:pPr>
              <w:spacing w:beforeAutospacing="true" w:afterAutospacing="true"/>
              <w:jc w:val="right"/>
            </w:pPr>
            <w:r>
              <w:rPr>
                <w:rFonts w:ascii="Calibri" w:hAnsi="Calibri"/>
                <w:color w:val="000000"/>
                <w:sz w:val="22"/>
              </w:rPr>
              <w:t xml:space="preserve">408</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Not Hispanic</w:t>
            </w:r>
          </w:p>
        </w:tc>
        <w:tc>
          <w:tcPr>
            <w:vAlign w:val="bottom"/>
          </w:tcPr>
          <w:p>
            <w:pPr>
              <w:spacing w:beforeAutospacing="true" w:afterAutospacing="true"/>
              <w:jc w:val="right"/>
            </w:pPr>
            <w:r>
              <w:rPr>
                <w:rFonts w:ascii="Calibri" w:hAnsi="Calibri"/>
                <w:color w:val="000000"/>
                <w:sz w:val="22"/>
              </w:rPr>
              <w:t xml:space="preserve">53,700</w:t>
            </w:r>
          </w:p>
        </w:tc>
        <w:tc>
          <w:tcPr>
            <w:vAlign w:val="bottom"/>
          </w:tcPr>
          <w:p>
            <w:pPr>
              <w:spacing w:beforeAutospacing="true" w:afterAutospacing="true"/>
              <w:jc w:val="right"/>
            </w:pPr>
            <w:r>
              <w:rPr>
                <w:rFonts w:ascii="Calibri" w:hAnsi="Calibri"/>
                <w:color w:val="000000"/>
                <w:sz w:val="22"/>
              </w:rPr>
              <w:t xml:space="preserve">37</w:t>
            </w:r>
          </w:p>
        </w:tc>
      </w:tr>
    </w:tbl>
    <w:p w:rsidR="00FE3457" w:rsidRDefault="00FE3457" w14:paraId="06971CD3" w14:textId="77777777">
      <w:pPr>
        <w:pStyle w:val="NoSpacing"/>
        <w:rPr>
          <w:vanish/>
        </w:rPr>
      </w:pPr>
    </w:p>
    <w:p w:rsidR="00FE3457" w:rsidRDefault="00FE3457" w14:paraId="007DCDA8" w14:textId="77777777">
      <w:pPr>
        <w:pStyle w:val="NoSpacing"/>
        <w:rPr>
          <w:vanish/>
        </w:rPr>
      </w:pPr>
    </w:p>
    <w:p w:rsidR="00FE3457" w:rsidRDefault="00FE3457" w14:paraId="121FD38A" w14:textId="77777777">
      <w:pPr>
        <w:pStyle w:val="NoSpacing"/>
        <w:rPr>
          <w:vanish/>
        </w:rPr>
      </w:pPr>
    </w:p>
    <w:p w:rsidR="00FE3457" w:rsidRDefault="00FE3457" w14:paraId="464FCBC1" w14:textId="77777777">
      <w:pPr>
        <w:pStyle w:val="NoSpacing"/>
        <w:rPr>
          <w:vanish/>
        </w:rPr>
      </w:pPr>
    </w:p>
    <w:p w:rsidR="00FE3457" w:rsidRDefault="00FE3457" w14:paraId="7B04FA47" w14:textId="77777777">
      <w:pPr>
        <w:pStyle w:val="NoSpacing"/>
        <w:rPr>
          <w:vanish/>
        </w:rPr>
      </w:pPr>
    </w:p>
    <w:p w:rsidR="00FE3457" w:rsidRDefault="00FE3457" w14:paraId="54C529ED" w14:textId="77777777">
      <w:pPr>
        <w:pStyle w:val="NoSpacing"/>
      </w:pPr>
    </w:p>
    <w:p w:rsidR="00FE3457" w:rsidRDefault="00FE3457" w14:paraId="508C98E9" w14:textId="77777777">
      <w:pPr>
        <w:pStyle w:val="NoSpacing"/>
        <w:rPr>
          <w:vanish/>
        </w:rPr>
      </w:pPr>
    </w:p>
    <w:p w:rsidR="00FE3457" w:rsidRDefault="00FE3457" w14:paraId="7D3BEE8F" w14:textId="77777777">
      <w:pPr>
        <w:pStyle w:val="NoSpacing"/>
        <w:rPr>
          <w:vanish/>
        </w:rPr>
      </w:pPr>
    </w:p>
    <w:p w:rsidR="00FE3457" w:rsidRDefault="00FE3457" w14:paraId="42AFC42D" w14:textId="77777777">
      <w:pPr>
        <w:pStyle w:val="NoSpacing"/>
        <w:rPr>
          <w:vanish/>
        </w:rPr>
      </w:pPr>
    </w:p>
    <w:p w:rsidR="00FE3457" w:rsidRDefault="00FE3457" w14:paraId="47341341" w14:textId="77777777">
      <w:pPr>
        <w:pStyle w:val="NoSpacing"/>
        <w:rPr>
          <w:vanish/>
        </w:rPr>
      </w:pPr>
    </w:p>
    <w:p w:rsidR="00FE3457" w:rsidRDefault="00FE3457" w14:paraId="50125231" w14:textId="77777777">
      <w:pPr>
        <w:pStyle w:val="NoSpacing"/>
        <w:rPr>
          <w:vanish/>
        </w:rPr>
      </w:pPr>
    </w:p>
    <w:p w:rsidR="00FE3457" w:rsidRDefault="00FE3457" w14:paraId="71887C79" w14:textId="77777777">
      <w:pPr>
        <w:pStyle w:val="NoSpacing"/>
        <w:rPr>
          <w:vanish/>
        </w:rPr>
      </w:pPr>
    </w:p>
    <w:p w:rsidR="00FE3457" w:rsidRDefault="00FE3457" w14:paraId="66A1FAB9" w14:textId="77777777">
      <w:pPr>
        <w:pStyle w:val="NoSpacing"/>
        <w:rPr>
          <w:vanish/>
        </w:rPr>
      </w:pPr>
    </w:p>
    <w:p w:rsidR="00FE3457" w:rsidRDefault="00FE3457" w14:paraId="792F1AA2" w14:textId="77777777">
      <w:pPr>
        <w:pStyle w:val="NoSpacing"/>
        <w:rPr>
          <w:vanish/>
        </w:rPr>
      </w:pPr>
    </w:p>
    <w:p w:rsidR="00FE3457" w:rsidRDefault="00FE3457" w14:paraId="31A560F4" w14:textId="77777777">
      <w:pPr>
        <w:pStyle w:val="NoSpacing"/>
        <w:rPr>
          <w:vanish/>
        </w:rPr>
      </w:pPr>
    </w:p>
    <w:p w:rsidR="00FE3457" w:rsidRDefault="00FE3457" w14:paraId="60FA6563" w14:textId="77777777">
      <w:pPr>
        <w:pStyle w:val="NoSpacing"/>
        <w:rPr>
          <w:vanish/>
        </w:rPr>
      </w:pPr>
    </w:p>
    <w:p w:rsidR="00FE3457" w:rsidRDefault="00FE3457" w14:paraId="078B034E" w14:textId="77777777">
      <w:pPr>
        <w:keepNext/>
        <w:widowControl w:val="false"/>
        <w:spacing w:after="0" w:line="240" w:lineRule="auto"/>
        <w:rPr>
          <w:b/>
          <w:vanish/>
          <w:sz w:val="24"/>
          <w:szCs w:val="24"/>
        </w:rPr>
      </w:pPr>
    </w:p>
    <w:p w:rsidR="00FE3457" w:rsidRDefault="00FE3457" w14:paraId="32D85219" w14:textId="77777777">
      <w:pPr>
        <w:pStyle w:val="NoSpacing"/>
        <w:rPr>
          <w:vanish/>
        </w:rPr>
      </w:pPr>
    </w:p>
    <w:p w:rsidR="00FE3457" w:rsidRDefault="00FE3457" w14:paraId="0EF46479" w14:textId="77777777">
      <w:pPr>
        <w:pStyle w:val="NoSpacing"/>
        <w:rPr>
          <w:vanish/>
        </w:rPr>
      </w:pPr>
    </w:p>
    <w:p w:rsidR="00FE3457" w:rsidRDefault="00FE3457" w14:paraId="7B969857" w14:textId="77777777">
      <w:pPr>
        <w:pStyle w:val="NoSpacing"/>
        <w:rPr>
          <w:vanish/>
        </w:rPr>
      </w:pPr>
    </w:p>
    <w:p w:rsidR="00FE3457" w:rsidRDefault="00FE3457" w14:paraId="15C78039" w14:textId="77777777">
      <w:pPr>
        <w:pStyle w:val="NoSpacing"/>
        <w:rPr>
          <w:vanish/>
        </w:rPr>
      </w:pPr>
    </w:p>
    <w:p w:rsidR="00FE3457" w:rsidRDefault="00FE3457" w14:paraId="0477E574" w14:textId="77777777">
      <w:pPr>
        <w:pStyle w:val="NoSpacing"/>
        <w:rPr>
          <w:vanish/>
        </w:rPr>
      </w:pPr>
    </w:p>
    <w:p w:rsidR="00FE3457" w:rsidRDefault="00FE3457" w14:paraId="58717D39" w14:textId="77777777">
      <w:pPr>
        <w:pStyle w:val="NoSpacing"/>
        <w:rPr>
          <w:vanish/>
        </w:rPr>
      </w:pPr>
    </w:p>
    <w:p w:rsidR="00FE3457" w:rsidRDefault="00FE3457" w14:paraId="03B94F49" w14:textId="77777777">
      <w:pPr>
        <w:pStyle w:val="NoSpacing"/>
        <w:rPr>
          <w:vanish/>
        </w:rPr>
      </w:pPr>
    </w:p>
    <w:p w:rsidR="00FE3457" w:rsidRDefault="00FE3457" w14:paraId="0841E4F5" w14:textId="77777777">
      <w:pPr>
        <w:pStyle w:val="NoSpacing"/>
        <w:rPr>
          <w:vanish/>
        </w:rPr>
      </w:pPr>
    </w:p>
    <w:p w:rsidR="00FE3457" w:rsidRDefault="00FE3457" w14:paraId="6BF7610E" w14:textId="77777777">
      <w:pPr>
        <w:pStyle w:val="NoSpacing"/>
        <w:rPr>
          <w:vanish/>
        </w:rPr>
      </w:pPr>
    </w:p>
    <w:p w:rsidR="00FE3457" w:rsidRDefault="00FE3457" w14:paraId="2C7DA92C" w14:textId="77777777">
      <w:pPr>
        <w:pStyle w:val="NoSpacing"/>
        <w:rPr>
          <w:vanish/>
        </w:rPr>
      </w:pPr>
    </w:p>
    <w:p w:rsidR="00FE3457" w:rsidRDefault="00FE3457" w14:paraId="04338875" w14:textId="77777777">
      <w:pPr>
        <w:pStyle w:val="NoSpacing"/>
        <w:rPr>
          <w:vanish/>
        </w:rPr>
      </w:pPr>
    </w:p>
    <w:p w:rsidR="00FE3457" w:rsidRDefault="00FE3457" w14:paraId="627AA0AC" w14:textId="77777777">
      <w:pPr>
        <w:pStyle w:val="NoSpacing"/>
        <w:rPr>
          <w:vanish/>
        </w:rPr>
      </w:pPr>
    </w:p>
    <w:p w:rsidR="00FE3457" w:rsidRDefault="00FE3457" w14:paraId="4F7836D1" w14:textId="77777777">
      <w:pPr>
        <w:pStyle w:val="NoSpacing"/>
        <w:rPr>
          <w:vanish/>
        </w:rPr>
      </w:pPr>
    </w:p>
    <w:p w:rsidR="00FE3457" w:rsidRDefault="00FE3457" w14:paraId="3C72A837" w14:textId="77777777">
      <w:pPr>
        <w:pStyle w:val="NoSpacing"/>
        <w:rPr>
          <w:vanish/>
        </w:rPr>
      </w:pPr>
    </w:p>
    <w:p w:rsidR="00FE3457" w:rsidRDefault="00FE3457" w14:paraId="42050CB3" w14:textId="77777777">
      <w:pPr>
        <w:pStyle w:val="NoSpacing"/>
        <w:rPr>
          <w:vanish/>
        </w:rPr>
      </w:pPr>
    </w:p>
    <w:p w:rsidR="00FE3457" w:rsidRDefault="00FE3457" w14:paraId="7EF37AA3" w14:textId="77777777">
      <w:pPr>
        <w:pStyle w:val="NoSpacing"/>
        <w:rPr>
          <w:vanish/>
        </w:rPr>
      </w:pPr>
    </w:p>
    <w:p w:rsidR="00FE3457" w:rsidRDefault="00FE3457" w14:paraId="369B25BB" w14:textId="77777777">
      <w:pPr>
        <w:pStyle w:val="NoSpacing"/>
        <w:rPr>
          <w:vanish/>
        </w:rPr>
      </w:pPr>
    </w:p>
    <w:p w:rsidR="00FE3457" w:rsidRDefault="00FE3457" w14:paraId="3DACA320" w14:textId="77777777">
      <w:pPr>
        <w:pStyle w:val="NoSpacing"/>
        <w:rPr>
          <w:vanish/>
        </w:rPr>
      </w:pPr>
    </w:p>
    <w:p w:rsidR="00FE3457" w:rsidRDefault="00FE3457" w14:paraId="76A5953D" w14:textId="77777777">
      <w:pPr>
        <w:pStyle w:val="NoSpacing"/>
        <w:rPr>
          <w:vanish/>
        </w:rPr>
      </w:pPr>
    </w:p>
    <w:p w:rsidR="00FE3457" w:rsidRDefault="00FE3457" w14:paraId="575AB783" w14:textId="77777777">
      <w:pPr>
        <w:pStyle w:val="NoSpacing"/>
        <w:rPr>
          <w:vanish/>
        </w:rPr>
      </w:pPr>
    </w:p>
    <w:p w:rsidR="00FE3457" w:rsidRDefault="00FE3457" w14:paraId="29DB5971" w14:textId="77777777">
      <w:pPr>
        <w:pStyle w:val="NoSpacing"/>
        <w:rPr>
          <w:vanish/>
        </w:rPr>
      </w:pPr>
    </w:p>
    <w:p w:rsidR="00FE3457" w:rsidRDefault="00FE3457" w14:paraId="7287B6D4" w14:textId="77777777">
      <w:pPr>
        <w:pStyle w:val="NoSpacing"/>
        <w:rPr>
          <w:vanish/>
        </w:rPr>
      </w:pPr>
    </w:p>
    <w:p w:rsidR="00FE3457" w:rsidRDefault="00FE3457" w14:paraId="63FF2D74" w14:textId="77777777">
      <w:pPr>
        <w:pStyle w:val="NoSpacing"/>
        <w:rPr>
          <w:vanish/>
        </w:rPr>
      </w:pPr>
    </w:p>
    <w:p w:rsidR="00FE3457" w:rsidRDefault="00FE3457" w14:paraId="4AF909B0" w14:textId="77777777">
      <w:pPr>
        <w:keepNext/>
        <w:widowControl w:val="false"/>
        <w:rPr>
          <w:rFonts w:asciiTheme="minorHAnsi" w:hAnsiTheme="minorHAnsi"/>
          <w:b/>
          <w:sz w:val="20"/>
          <w:szCs w:val="20"/>
        </w:rPr>
      </w:pPr>
    </w:p>
    <w:p w:rsidR="00FE3457" w:rsidRDefault="00FE3457" w14:paraId="3D7CEA7F" w14:textId="77777777">
      <w:pPr>
        <w:keepNext/>
        <w:widowControl w:val="false"/>
        <w:rPr>
          <w:rFonts w:asciiTheme="minorHAnsi" w:hAnsiTheme="minorHAnsi"/>
          <w:b/>
          <w:sz w:val="20"/>
          <w:szCs w:val="20"/>
        </w:rPr>
      </w:pPr>
    </w:p>
    <w:p w:rsidR="00FE3457" w:rsidRDefault="005268B9" w14:paraId="1B45FE03" w14:textId="77777777">
      <w:pPr>
        <w:keepNext/>
        <w:widowControl w:val="false"/>
        <w:ind w:firstLine="720"/>
        <w:rPr>
          <w:b/>
          <w:color w:val="000000" w:themeColor="text1"/>
          <w:sz w:val="20"/>
          <w:szCs w:val="20"/>
        </w:rPr>
      </w:pPr>
      <w:r>
        <w:rPr>
          <w:rFonts w:asciiTheme="minorHAnsi" w:hAnsiTheme="minorHAnsi"/>
          <w:b/>
          <w:sz w:val="20"/>
          <w:szCs w:val="20"/>
        </w:rPr>
        <w:t xml:space="preserve">Table </w:t>
      </w:r>
      <w:r>
        <w:rPr>
          <w:rFonts w:asciiTheme="minorHAnsi" w:hAnsiTheme="minorHAnsi"/>
          <w:b/>
          <w:sz w:val="20"/>
          <w:szCs w:val="20"/>
        </w:rPr>
        <w:fldChar w:fldCharType="begin"/>
      </w:r>
      <w:r>
        <w:rPr>
          <w:rFonts w:asciiTheme="minorHAnsi" w:hAnsiTheme="minorHAnsi"/>
          <w:b/>
          <w:sz w:val="20"/>
          <w:szCs w:val="20"/>
        </w:rPr>
        <w:instrText xml:space="preserve"> SEQ Table \* ARABIC </w:instrText>
      </w:r>
      <w:r>
        <w:rPr>
          <w:rFonts w:asciiTheme="minorHAnsi" w:hAnsiTheme="minorHAnsi"/>
          <w:b/>
          <w:sz w:val="20"/>
          <w:szCs w:val="20"/>
        </w:rPr>
        <w:fldChar w:fldCharType="separate"/>
      </w:r>
      <w:r>
        <w:rPr>
          <w:rFonts w:asciiTheme="minorHAnsi" w:hAnsiTheme="minorHAnsi"/>
          <w:b/>
          <w:sz w:val="20"/>
          <w:szCs w:val="20"/>
        </w:rPr>
        <w:t>2</w:t>
      </w:r>
      <w:r>
        <w:rPr>
          <w:rFonts w:asciiTheme="minorHAnsi" w:hAnsiTheme="minorHAnsi"/>
          <w:b/>
          <w:sz w:val="20"/>
          <w:szCs w:val="20"/>
        </w:rPr>
        <w:fldChar w:fldCharType="end"/>
      </w:r>
      <w:r>
        <w:rPr>
          <w:rFonts w:asciiTheme="minorHAnsi" w:hAnsiTheme="minorHAnsi"/>
          <w:b/>
          <w:sz w:val="20"/>
          <w:szCs w:val="20"/>
        </w:rPr>
        <w:t xml:space="preserve"> – Table of assistance to racial and ethnic populations by source of funds</w:t>
      </w:r>
      <w:r>
        <w:rPr>
          <w:b/>
          <w:color w:val="000000" w:themeColor="text1"/>
          <w:sz w:val="20"/>
          <w:szCs w:val="20"/>
        </w:rPr>
        <w:t xml:space="preserve"> </w:t>
      </w:r>
    </w:p>
    <w:p w:rsidR="00FE3457" w:rsidRDefault="00FE3457" w14:paraId="6DF670E6" w14:textId="77777777">
      <w:pPr>
        <w:widowControl w:val="false"/>
        <w:rPr>
          <w:b/>
          <w:sz w:val="24"/>
          <w:szCs w:val="24"/>
        </w:rPr>
      </w:pPr>
    </w:p>
    <w:p w:rsidR="00FE3457" w:rsidRDefault="005268B9" w14:paraId="2C25DDD4" w14:textId="77777777">
      <w:pPr>
        <w:widowControl w:val="false"/>
        <w:rPr>
          <w:b/>
          <w:sz w:val="24"/>
          <w:szCs w:val="24"/>
        </w:rPr>
      </w:pPr>
      <w:r>
        <w:rPr>
          <w:b/>
          <w:sz w:val="24"/>
          <w:szCs w:val="24"/>
        </w:rPr>
        <w:t>Narrative</w:t>
      </w:r>
    </w:p>
    <w:p>
      <w:pPr>
        <w:widowControl w:val="false"/>
        <w:spacing w:beforeAutospacing="true" w:afterAutospacing="true"/>
      </w:pPr>
      <w:r>
        <w:rPr/>
        <w:t xml:space="preserve">In addition to the race and ethnicity numbers listed above, CDBG also assisted families of the following races: American Indian/Alaskan Native &amp; White 8, Asian &amp; White 103, Black/African American &amp; White 982, American Indian/Alaskan Native &amp; Black 9, and other multi-racial 1,931.  With these additions, the total number of persons assisted by CDBG totals 57,141.</w:t>
      </w:r>
    </w:p>
    <w:p>
      <w:pPr>
        <w:widowControl w:val="false"/>
        <w:spacing w:beforeAutospacing="true" w:afterAutospacing="true"/>
      </w:pPr>
      <w:r>
        <w:rPr/>
        <w:t xml:space="preserve">The families assisted were predominately low-to-moderate income and/or homeless, including elderly and female head of household.</w:t>
      </w:r>
    </w:p>
    <w:p w:rsidR="00FE3457" w:rsidRDefault="00FE3457" w14:paraId="66597038" w14:textId="77777777">
      <w:pPr>
        <w:widowControl w:val="false"/>
      </w:pPr>
    </w:p>
    <w:p w:rsidR="00FE3457" w:rsidRDefault="00FE3457" w14:paraId="017458F3" w14:textId="77777777">
      <w:pPr>
        <w:sectPr w:rsidR="00FE3457">
          <w:pgSz w:w="12240" w:h="15840" w:orient="portrait" w:code="1"/>
          <w:pgMar w:top="1440" w:right="1440" w:bottom="1440" w:left="1440" w:header="720" w:footer="720" w:gutter="0"/>
          <w:cols w:space="720"/>
          <w:docGrid w:linePitch="360"/>
        </w:sectPr>
      </w:pPr>
    </w:p>
    <w:bookmarkEnd w:id="0"/>
    <w:p w:rsidR="00FE3457" w:rsidRDefault="005268B9" w14:paraId="449230D5" w14:textId="77777777">
      <w:pPr>
        <w:pStyle w:val="Heading2"/>
        <w:rPr>
          <w:rFonts w:ascii="Calibri" w:hAnsi="Calibri"/>
          <w:i w:val="false"/>
        </w:rPr>
      </w:pPr>
      <w:r>
        <w:rPr>
          <w:rFonts w:ascii="Calibri" w:hAnsi="Calibri"/>
          <w:i w:val="false"/>
        </w:rPr>
        <w:t>CR-15 - Resources and Investments 91.520(a)</w:t>
      </w:r>
    </w:p>
    <w:p w:rsidR="00FE3457" w:rsidRDefault="005268B9" w14:paraId="5B8660E7" w14:textId="77777777">
      <w:pPr>
        <w:keepNext/>
        <w:widowControl w:val="false"/>
        <w:spacing w:after="0" w:line="240" w:lineRule="auto"/>
        <w:rPr>
          <w:b/>
          <w:sz w:val="24"/>
          <w:szCs w:val="24"/>
        </w:rPr>
      </w:pPr>
      <w:r>
        <w:rPr>
          <w:b/>
          <w:sz w:val="24"/>
          <w:szCs w:val="24"/>
        </w:rPr>
        <w:t>Identify the resources made available</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339"/>
        <w:gridCol w:w="2329"/>
        <w:gridCol w:w="2343"/>
        <w:gridCol w:w="2339"/>
      </w:tblGrid>
      <w:tr w:rsidR="00FE3457" w14:paraId="65BF782E" w14:textId="77777777">
        <w:trPr>
          <w:cantSplit/>
        </w:trPr>
        <w:tc>
          <w:tcPr>
            <w:tcW w:w="2394" w:type="dxa"/>
          </w:tcPr>
          <w:p w:rsidR="00FE3457" w:rsidRDefault="005268B9" w14:paraId="32351881" w14:textId="77777777">
            <w:pPr>
              <w:keepNext/>
              <w:widowControl w:val="false"/>
              <w:spacing w:after="0" w:line="240" w:lineRule="auto"/>
              <w:jc w:val="center"/>
              <w:rPr>
                <w:rFonts w:cs="Arial"/>
                <w:b/>
              </w:rPr>
            </w:pPr>
            <w:r>
              <w:rPr>
                <w:rFonts w:cs="Arial"/>
                <w:b/>
              </w:rPr>
              <w:t>Source of Funds</w:t>
            </w:r>
          </w:p>
        </w:tc>
        <w:tc>
          <w:tcPr>
            <w:tcW w:w="2394" w:type="dxa"/>
          </w:tcPr>
          <w:p w:rsidR="00FE3457" w:rsidRDefault="005268B9" w14:paraId="67D63D4F" w14:textId="77777777">
            <w:pPr>
              <w:keepNext/>
              <w:widowControl w:val="false"/>
              <w:spacing w:after="0" w:line="240" w:lineRule="auto"/>
              <w:jc w:val="center"/>
              <w:rPr>
                <w:rFonts w:cs="Arial"/>
                <w:b/>
              </w:rPr>
            </w:pPr>
            <w:r>
              <w:rPr>
                <w:rFonts w:cs="Arial"/>
                <w:b/>
              </w:rPr>
              <w:t>Source</w:t>
            </w:r>
          </w:p>
        </w:tc>
        <w:tc>
          <w:tcPr>
            <w:tcW w:w="2394" w:type="dxa"/>
          </w:tcPr>
          <w:p w:rsidR="00FE3457" w:rsidRDefault="005268B9" w14:paraId="08FCA038" w14:textId="77777777">
            <w:pPr>
              <w:keepNext/>
              <w:spacing w:after="0" w:line="240" w:lineRule="auto"/>
              <w:jc w:val="center"/>
              <w:rPr>
                <w:rFonts w:cs="Arial"/>
                <w:b/>
              </w:rPr>
            </w:pPr>
            <w:r>
              <w:rPr>
                <w:rFonts w:cs="Arial"/>
                <w:b/>
              </w:rPr>
              <w:t>Resources Made Available</w:t>
            </w:r>
          </w:p>
        </w:tc>
        <w:tc>
          <w:tcPr>
            <w:tcW w:w="2394" w:type="dxa"/>
          </w:tcPr>
          <w:p w:rsidR="00FE3457" w:rsidRDefault="005268B9" w14:paraId="5C75CC5A" w14:textId="77777777">
            <w:pPr>
              <w:keepNext/>
              <w:widowControl w:val="false"/>
              <w:spacing w:after="0" w:line="240" w:lineRule="auto"/>
              <w:jc w:val="center"/>
              <w:rPr>
                <w:rFonts w:cs="Arial"/>
                <w:b/>
              </w:rPr>
            </w:pPr>
            <w:r>
              <w:rPr>
                <w:rFonts w:cs="Arial"/>
                <w:b/>
              </w:rPr>
              <w:t>Amount Expended During Program Year</w:t>
            </w:r>
          </w:p>
        </w:tc>
      </w:tr>
      <w:tr>
        <w:trPr>
          <w:cantSplit w:val="true"/>
        </w:trPr>
        <w:tc>
          <w:tcPr>
            <w:vAlign w:val="bottom"/>
          </w:tcPr>
          <w:p>
            <w:pPr>
              <w:spacing w:beforeAutospacing="true" w:afterAutospacing="true"/>
              <w:jc w:val="left"/>
            </w:pPr>
            <w:r>
              <w:rPr>
                <w:rFonts w:ascii="Calibri" w:hAnsi="Calibri"/>
                <w:color w:val="000000"/>
                <w:sz w:val="22"/>
              </w:rPr>
              <w:t xml:space="preserve">CDBG</w:t>
            </w:r>
          </w:p>
        </w:tc>
        <w:tc>
          <w:tcPr>
            <w:vAlign w:val="bottom"/>
          </w:tcPr>
          <w:p>
            <w:pPr>
              <w:spacing w:beforeAutospacing="true" w:afterAutospacing="true"/>
              <w:jc w:val="left"/>
            </w:pPr>
            <w:r>
              <w:rPr>
                <w:rFonts w:ascii="Calibri" w:hAnsi="Calibri"/>
                <w:color w:val="000000"/>
                <w:sz w:val="22"/>
              </w:rPr>
              <w:t xml:space="preserve">public - federal</w:t>
            </w:r>
          </w:p>
        </w:tc>
        <w:tc>
          <w:tcPr>
            <w:vAlign w:val="bottom"/>
          </w:tcPr>
          <w:p>
            <w:pPr>
              <w:spacing w:beforeAutospacing="true" w:afterAutospacing="true"/>
              <w:jc w:val="right"/>
            </w:pPr>
            <w:r>
              <w:rPr>
                <w:rFonts w:ascii="Calibri" w:hAnsi="Calibri"/>
                <w:color w:val="000000"/>
                <w:sz w:val="22"/>
              </w:rPr>
              <w:t xml:space="preserve">1,501,940</w:t>
            </w:r>
          </w:p>
        </w:tc>
        <w:tc>
          <w:tcPr>
            <w:vAlign w:val="bottom"/>
          </w:tcPr>
          <w:p>
            <w:pPr>
              <w:spacing w:beforeAutospacing="true" w:afterAutospacing="true"/>
              <w:jc w:val="right"/>
            </w:pPr>
            <w:r>
              <w:rPr>
                <w:rFonts w:ascii="Calibri" w:hAnsi="Calibri"/>
                <w:color w:val="000000"/>
                <w:sz w:val="22"/>
              </w:rPr>
              <w:t xml:space="preserve"> </w:t>
            </w:r>
          </w:p>
        </w:tc>
      </w:tr>
      <w:tr>
        <w:trPr>
          <w:cantSplit w:val="true"/>
        </w:trPr>
        <w:tc>
          <w:tcPr>
            <w:vAlign w:val="bottom"/>
          </w:tcPr>
          <w:p>
            <w:pPr>
              <w:spacing w:beforeAutospacing="true" w:afterAutospacing="true"/>
              <w:jc w:val="left"/>
            </w:pPr>
            <w:r>
              <w:rPr>
                <w:rFonts w:ascii="Calibri" w:hAnsi="Calibri"/>
                <w:color w:val="000000"/>
                <w:sz w:val="22"/>
              </w:rPr>
              <w:t xml:space="preserve">HOME</w:t>
            </w:r>
          </w:p>
        </w:tc>
        <w:tc>
          <w:tcPr>
            <w:vAlign w:val="bottom"/>
          </w:tcPr>
          <w:p>
            <w:pPr>
              <w:spacing w:beforeAutospacing="true" w:afterAutospacing="true"/>
              <w:jc w:val="left"/>
            </w:pPr>
            <w:r>
              <w:rPr>
                <w:rFonts w:ascii="Calibri" w:hAnsi="Calibri"/>
                <w:color w:val="000000"/>
                <w:sz w:val="22"/>
              </w:rPr>
              <w:t xml:space="preserve">public - federal</w:t>
            </w:r>
          </w:p>
        </w:tc>
        <w:tc>
          <w:tcPr>
            <w:vAlign w:val="bottom"/>
          </w:tcPr>
          <w:p>
            <w:pPr>
              <w:spacing w:beforeAutospacing="true" w:afterAutospacing="true"/>
              <w:jc w:val="right"/>
            </w:pPr>
            <w:r>
              <w:rPr>
                <w:rFonts w:ascii="Calibri" w:hAnsi="Calibri"/>
                <w:color w:val="000000"/>
                <w:sz w:val="22"/>
              </w:rPr>
              <w:t xml:space="preserve">706,459</w:t>
            </w:r>
          </w:p>
        </w:tc>
        <w:tc>
          <w:tcPr>
            <w:vAlign w:val="bottom"/>
          </w:tcPr>
          <w:p>
            <w:pPr>
              <w:spacing w:beforeAutospacing="true" w:afterAutospacing="true"/>
              <w:jc w:val="right"/>
            </w:pPr>
            <w:r>
              <w:rPr>
                <w:rFonts w:ascii="Calibri" w:hAnsi="Calibri"/>
                <w:color w:val="000000"/>
                <w:sz w:val="22"/>
              </w:rPr>
              <w:t xml:space="preserve">825,852</w:t>
            </w:r>
          </w:p>
        </w:tc>
      </w:tr>
    </w:tbl>
    <w:p w:rsidR="00FE3457" w:rsidRDefault="005268B9" w14:paraId="7E8F1A7D"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Resources Made Available</w:t>
      </w:r>
    </w:p>
    <w:p w:rsidR="00FE3457" w:rsidRDefault="00FE3457" w14:paraId="222C0D7E" w14:textId="77777777">
      <w:pPr>
        <w:spacing w:after="0" w:line="240" w:lineRule="auto"/>
        <w:rPr>
          <w:b/>
          <w:sz w:val="24"/>
          <w:szCs w:val="24"/>
        </w:rPr>
      </w:pPr>
    </w:p>
    <w:p w:rsidR="00FE3457" w:rsidRDefault="005268B9" w14:paraId="6EF59614" w14:textId="77777777">
      <w:pPr>
        <w:spacing w:after="0" w:line="240" w:lineRule="auto"/>
        <w:rPr>
          <w:b/>
          <w:sz w:val="24"/>
          <w:szCs w:val="24"/>
        </w:rPr>
      </w:pPr>
      <w:r>
        <w:rPr>
          <w:b/>
          <w:sz w:val="24"/>
          <w:szCs w:val="24"/>
        </w:rPr>
        <w:t>Narrative</w:t>
      </w:r>
    </w:p>
    <w:p w:rsidR="00FE3457" w:rsidRDefault="005268B9" w14:paraId="519BF01A" w14:textId="77777777">
      <w:pPr>
        <w:spacing w:after="0" w:line="240" w:lineRule="auto"/>
        <w:rPr>
          <w:rFonts w:cs="Arial"/>
        </w:rPr>
      </w:pPr>
      <w:r>
        <w:rPr>
          <w:rFonts w:cs="Arial"/>
        </w:rPr>
      </w:r>
    </w:p>
    <w:p w:rsidR="00FE3457" w:rsidRDefault="00FE3457" w14:paraId="2DE00C70" w14:textId="77777777">
      <w:pPr>
        <w:spacing w:after="0" w:line="240" w:lineRule="auto"/>
        <w:rPr>
          <w:b/>
          <w:sz w:val="24"/>
          <w:szCs w:val="24"/>
        </w:rPr>
      </w:pPr>
    </w:p>
    <w:p w:rsidR="00FE3457" w:rsidRDefault="005268B9" w14:paraId="5DCE90B6" w14:textId="77777777">
      <w:pPr>
        <w:keepNext/>
        <w:spacing w:after="0" w:line="240" w:lineRule="auto"/>
        <w:rPr>
          <w:b/>
          <w:sz w:val="24"/>
          <w:szCs w:val="24"/>
        </w:rPr>
      </w:pPr>
      <w:r>
        <w:rPr>
          <w:b/>
          <w:sz w:val="24"/>
          <w:szCs w:val="24"/>
        </w:rPr>
        <w:t>Identify the geographic distribution and location of investments</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322"/>
        <w:gridCol w:w="2344"/>
        <w:gridCol w:w="2342"/>
        <w:gridCol w:w="2342"/>
      </w:tblGrid>
      <w:tr w:rsidR="00FE3457" w14:paraId="1179353C" w14:textId="77777777">
        <w:trPr>
          <w:cantSplit/>
        </w:trPr>
        <w:tc>
          <w:tcPr>
            <w:tcW w:w="2394" w:type="dxa"/>
          </w:tcPr>
          <w:p w:rsidR="00FE3457" w:rsidRDefault="005268B9" w14:paraId="005A6736" w14:textId="77777777">
            <w:pPr>
              <w:keepNext/>
              <w:widowControl w:val="false"/>
              <w:spacing w:after="0" w:line="240" w:lineRule="auto"/>
              <w:jc w:val="center"/>
              <w:rPr>
                <w:rFonts w:cs="Arial"/>
                <w:b/>
              </w:rPr>
            </w:pPr>
            <w:r>
              <w:rPr>
                <w:rFonts w:cs="Arial"/>
                <w:b/>
              </w:rPr>
              <w:t>Target Area</w:t>
            </w:r>
          </w:p>
        </w:tc>
        <w:tc>
          <w:tcPr>
            <w:tcW w:w="2394" w:type="dxa"/>
          </w:tcPr>
          <w:p w:rsidR="00FE3457" w:rsidRDefault="005268B9" w14:paraId="299117C8" w14:textId="77777777">
            <w:pPr>
              <w:keepNext/>
              <w:widowControl w:val="false"/>
              <w:spacing w:after="0" w:line="240" w:lineRule="auto"/>
              <w:jc w:val="center"/>
              <w:rPr>
                <w:rFonts w:cs="Arial"/>
                <w:b/>
              </w:rPr>
            </w:pPr>
            <w:r>
              <w:rPr>
                <w:rFonts w:cs="Arial"/>
                <w:b/>
              </w:rPr>
              <w:t>Planned Percentage of Allocation</w:t>
            </w:r>
          </w:p>
        </w:tc>
        <w:tc>
          <w:tcPr>
            <w:tcW w:w="2394" w:type="dxa"/>
          </w:tcPr>
          <w:p w:rsidR="00FE3457" w:rsidRDefault="005268B9" w14:paraId="2C46DDF9" w14:textId="77777777">
            <w:pPr>
              <w:keepNext/>
              <w:spacing w:after="0" w:line="240" w:lineRule="auto"/>
              <w:jc w:val="center"/>
              <w:rPr>
                <w:rFonts w:cs="Arial"/>
                <w:b/>
              </w:rPr>
            </w:pPr>
            <w:r>
              <w:rPr>
                <w:rFonts w:cs="Arial"/>
                <w:b/>
              </w:rPr>
              <w:t>Actual Percentage of Allocation</w:t>
            </w:r>
          </w:p>
        </w:tc>
        <w:tc>
          <w:tcPr>
            <w:tcW w:w="2394" w:type="dxa"/>
          </w:tcPr>
          <w:p w:rsidR="00FE3457" w:rsidRDefault="005268B9" w14:paraId="081F1737" w14:textId="77777777">
            <w:pPr>
              <w:keepNext/>
              <w:widowControl w:val="false"/>
              <w:spacing w:after="0" w:line="240" w:lineRule="auto"/>
              <w:jc w:val="center"/>
              <w:rPr>
                <w:rFonts w:cs="Arial"/>
                <w:b/>
              </w:rPr>
            </w:pPr>
            <w:r>
              <w:rPr>
                <w:rFonts w:cs="Arial"/>
                <w:b/>
              </w:rPr>
              <w:t>Narrative Description</w:t>
            </w:r>
          </w:p>
        </w:tc>
      </w:tr>
      <w:tr>
        <w:trPr>
          <w:cantSplit w:val="true"/>
        </w:trPr>
        <w:tc>
          <w:tcPr>
            <w:vAlign w:val="bottom"/>
          </w:tcPr>
          <w:p>
            <w:pPr>
              <w:spacing w:beforeAutospacing="true" w:afterAutospacing="true"/>
              <w:jc w:val="left"/>
            </w:pPr>
            <w:r>
              <w:rPr>
                <w:rFonts w:ascii="Calibri" w:hAnsi="Calibri"/>
                <w:color w:val="000000"/>
                <w:sz w:val="22"/>
              </w:rPr>
              <w:t xml:space="preserve">Charleston-Kanawha County Consortium</w:t>
            </w:r>
          </w:p>
        </w:tc>
        <w:tc>
          <w:tcPr>
            <w:vAlign w:val="bottom"/>
          </w:tcPr>
          <w:p>
            <w:pPr>
              <w:spacing w:beforeAutospacing="true" w:afterAutospacing="true"/>
              <w:jc w:val="left"/>
            </w:pPr>
            <w:r>
              <w:rPr>
                <w:rFonts w:ascii="Calibri" w:hAnsi="Calibri"/>
                <w:color w:val="000000"/>
                <w:sz w:val="22"/>
              </w:rPr>
              <w:t xml:space="preserve">32</w:t>
            </w:r>
          </w:p>
        </w:tc>
        <w:tc>
          <w:tcPr>
            <w:vAlign w:val="bottom"/>
          </w:tcPr>
          <w:p>
            <w:pPr>
              <w:spacing w:beforeAutospacing="true" w:afterAutospacing="true"/>
              <w:jc w:val="left"/>
            </w:pPr>
            <w:r>
              <w:rPr>
                <w:rFonts w:ascii="Calibri" w:hAnsi="Calibri"/>
                <w:color w:val="000000"/>
                <w:sz w:val="22"/>
              </w:rPr>
              <w:t xml:space="preserve">32</w:t>
            </w:r>
          </w:p>
        </w:tc>
        <w:tc>
          <w:tcPr>
            <w:vAlign w:val="bottom"/>
          </w:tcPr>
          <w:p>
            <w:pPr>
              <w:spacing w:beforeAutospacing="true" w:afterAutospacing="true"/>
              <w:jc w:val="left"/>
            </w:pPr>
            <w:r>
              <w:rPr>
                <w:rFonts w:ascii="Calibri" w:hAnsi="Calibri"/>
                <w:color w:val="000000"/>
                <w:sz w:val="22"/>
              </w:rPr>
              <w:t xml:space="preserve">Countywide HOME Consortium</w:t>
            </w:r>
          </w:p>
        </w:tc>
      </w:tr>
      <w:tr>
        <w:trPr>
          <w:cantSplit w:val="true"/>
        </w:trPr>
        <w:tc>
          <w:tcPr>
            <w:vAlign w:val="bottom"/>
          </w:tcPr>
          <w:p>
            <w:pPr>
              <w:spacing w:beforeAutospacing="true" w:afterAutospacing="true"/>
              <w:jc w:val="left"/>
            </w:pPr>
            <w:r>
              <w:rPr>
                <w:rFonts w:ascii="Calibri" w:hAnsi="Calibri"/>
                <w:color w:val="000000"/>
                <w:sz w:val="22"/>
              </w:rPr>
              <w:t xml:space="preserve">Citywide</w:t>
            </w:r>
          </w:p>
        </w:tc>
        <w:tc>
          <w:tcPr>
            <w:vAlign w:val="bottom"/>
          </w:tcPr>
          <w:p>
            <w:pPr>
              <w:spacing w:beforeAutospacing="true" w:afterAutospacing="true"/>
              <w:jc w:val="left"/>
            </w:pPr>
            <w:r>
              <w:rPr>
                <w:rFonts w:ascii="Calibri" w:hAnsi="Calibri"/>
                <w:color w:val="000000"/>
                <w:sz w:val="22"/>
              </w:rPr>
              <w:t xml:space="preserve">67</w:t>
            </w:r>
          </w:p>
        </w:tc>
        <w:tc>
          <w:tcPr>
            <w:vAlign w:val="bottom"/>
          </w:tcPr>
          <w:p>
            <w:pPr>
              <w:spacing w:beforeAutospacing="true" w:afterAutospacing="true"/>
              <w:jc w:val="left"/>
            </w:pPr>
            <w:r>
              <w:rPr>
                <w:rFonts w:ascii="Calibri" w:hAnsi="Calibri"/>
                <w:color w:val="000000"/>
                <w:sz w:val="22"/>
              </w:rPr>
              <w:t xml:space="preserve">67</w:t>
            </w:r>
          </w:p>
        </w:tc>
        <w:tc>
          <w:tcPr>
            <w:vAlign w:val="bottom"/>
          </w:tcPr>
          <w:p>
            <w:pPr>
              <w:spacing w:beforeAutospacing="true" w:afterAutospacing="true"/>
              <w:jc w:val="left"/>
            </w:pPr>
            <w:r>
              <w:rPr>
                <w:rFonts w:ascii="Calibri" w:hAnsi="Calibri"/>
                <w:color w:val="000000"/>
                <w:sz w:val="22"/>
              </w:rPr>
              <w:t xml:space="preserve">Citywide</w:t>
            </w:r>
          </w:p>
        </w:tc>
      </w:tr>
      <w:tr>
        <w:trPr>
          <w:cantSplit w:val="true"/>
        </w:trPr>
        <w:tc>
          <w:tcPr>
            <w:vAlign w:val="bottom"/>
          </w:tcPr>
          <w:p>
            <w:pPr>
              <w:spacing w:beforeAutospacing="true" w:afterAutospacing="true"/>
              <w:jc w:val="left"/>
            </w:pPr>
            <w:r>
              <w:rPr>
                <w:rFonts w:ascii="Calibri" w:hAnsi="Calibri"/>
                <w:color w:val="000000"/>
                <w:sz w:val="22"/>
              </w:rPr>
              <w:t xml:space="preserve">Low/mod areas</w:t>
            </w:r>
          </w:p>
        </w:tc>
        <w:tc>
          <w:tcPr>
            <w:vAlign w:val="bottom"/>
          </w:tcPr>
          <w:p>
            <w:pPr>
              <w:spacing w:beforeAutospacing="true" w:afterAutospacing="true"/>
              <w:jc w:val="left"/>
            </w:pPr>
            <w:r>
              <w:rPr>
                <w:rFonts w:ascii="Calibri" w:hAnsi="Calibri"/>
                <w:color w:val="000000"/>
                <w:sz w:val="22"/>
              </w:rPr>
              <w:t xml:space="preserve">1</w:t>
            </w:r>
          </w:p>
        </w:tc>
        <w:tc>
          <w:tcPr>
            <w:vAlign w:val="bottom"/>
          </w:tcPr>
          <w:p>
            <w:pPr>
              <w:spacing w:beforeAutospacing="true" w:afterAutospacing="true"/>
              <w:jc w:val="left"/>
            </w:pPr>
            <w:r>
              <w:rPr>
                <w:rFonts w:ascii="Calibri" w:hAnsi="Calibri"/>
                <w:color w:val="000000"/>
                <w:sz w:val="22"/>
              </w:rPr>
              <w:t xml:space="preserve">1</w:t>
            </w:r>
          </w:p>
        </w:tc>
        <w:tc>
          <w:tcPr>
            <w:vAlign w:val="bottom"/>
          </w:tcPr>
          <w:p>
            <w:pPr>
              <w:spacing w:beforeAutospacing="true" w:afterAutospacing="true"/>
              <w:jc w:val="left"/>
            </w:pPr>
            <w:r>
              <w:rPr>
                <w:rFonts w:ascii="Calibri" w:hAnsi="Calibri"/>
                <w:color w:val="000000"/>
                <w:sz w:val="22"/>
              </w:rPr>
              <w:t xml:space="preserve">Low and Moderate Income areas</w:t>
            </w:r>
          </w:p>
        </w:tc>
      </w:tr>
    </w:tbl>
    <w:p w:rsidR="00FE3457" w:rsidRDefault="005268B9" w14:paraId="52B8679F"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Identify the geographic distribution and location of investments</w:t>
      </w:r>
    </w:p>
    <w:p w:rsidR="00FE3457" w:rsidRDefault="00FE3457" w14:paraId="7D962636" w14:textId="77777777">
      <w:pPr>
        <w:keepNext/>
        <w:widowControl w:val="false"/>
        <w:spacing w:line="204" w:lineRule="auto"/>
        <w:rPr>
          <w:b/>
          <w:sz w:val="24"/>
          <w:szCs w:val="24"/>
        </w:rPr>
      </w:pPr>
    </w:p>
    <w:p w:rsidR="00FE3457" w:rsidRDefault="005268B9" w14:paraId="6892A4CE" w14:textId="77777777">
      <w:pPr>
        <w:widowControl w:val="false"/>
        <w:spacing w:line="204" w:lineRule="auto"/>
        <w:rPr>
          <w:b/>
          <w:sz w:val="24"/>
          <w:szCs w:val="24"/>
        </w:rPr>
      </w:pPr>
      <w:r>
        <w:rPr>
          <w:b/>
          <w:sz w:val="24"/>
          <w:szCs w:val="24"/>
        </w:rPr>
        <w:t>Narrative</w:t>
      </w:r>
    </w:p>
    <w:p>
      <w:pPr>
        <w:widowControl w:val="false"/>
        <w:spacing w:beforeAutospacing="true" w:afterAutospacing="true"/>
        <w:rPr>
          <w:rFonts w:cs="Arial"/>
        </w:rPr>
      </w:pPr>
      <w:r>
        <w:rPr>
          <w:rFonts w:cs="Arial"/>
        </w:rPr>
        <w:t xml:space="preserve">The actual percentage of allocations per distribution and location of investments indicated in the chart did not differ from the planned percentages.  </w:t>
      </w:r>
    </w:p>
    <w:p>
      <w:pPr>
        <w:widowControl w:val="false"/>
        <w:spacing w:beforeAutospacing="true" w:afterAutospacing="true"/>
        <w:rPr>
          <w:rFonts w:cs="Arial"/>
        </w:rPr>
      </w:pPr>
      <w:r>
        <w:rPr>
          <w:rFonts w:cs="Arial"/>
        </w:rPr>
        <w:t xml:space="preserve">Two of our highest funded activities are citywide: housing rehabilitation and ADA ramps. </w:t>
      </w:r>
    </w:p>
    <w:p w:rsidR="00FE3457" w:rsidRDefault="005268B9" w14:paraId="426CAD11" w14:textId="77777777">
      <w:pPr>
        <w:pageBreakBefore/>
        <w:widowControl w:val="false"/>
        <w:spacing w:line="240" w:lineRule="auto"/>
        <w:rPr>
          <w:b/>
          <w:sz w:val="24"/>
          <w:szCs w:val="24"/>
        </w:rPr>
      </w:pPr>
      <w:r>
        <w:rPr>
          <w:b/>
          <w:sz w:val="24"/>
          <w:szCs w:val="24"/>
        </w:rPr>
        <w:t>Leveraging</w:t>
      </w:r>
    </w:p>
    <w:p w:rsidR="00FE3457" w:rsidRDefault="005268B9" w14:paraId="6858ED72" w14:textId="77777777">
      <w:pPr>
        <w:widowControl w:val="false"/>
        <w:spacing w:line="240" w:lineRule="auto"/>
        <w:rPr>
          <w:b/>
          <w:sz w:val="24"/>
          <w:szCs w:val="24"/>
        </w:rPr>
      </w:pPr>
      <w:r>
        <w:rPr>
          <w:b/>
          <w:sz w:val="24"/>
          <w:szCs w:val="24"/>
        </w:rPr>
        <w:t>Explain how federal funds  leveraged additional resources (private, state and local funds), including a description of how matching requirements were satisfied, as well as how any publicly owned land or property located within the jurisdiction that were used to address the needs identified in the plan.</w:t>
      </w:r>
    </w:p>
    <w:p>
      <w:pPr>
        <w:widowControl w:val="false"/>
        <w:spacing w:beforeAutospacing="true" w:afterAutospacing="true"/>
        <w:rPr>
          <w:sz w:val="24"/>
          <w:szCs w:val="24"/>
        </w:rPr>
      </w:pPr>
      <w:r>
        <w:rPr>
          <w:sz w:val="24"/>
          <w:szCs w:val="24"/>
        </w:rPr>
        <w:t xml:space="preserve">The HOME program continues to partner with local lenders to leverage federal funds with private funds.   The program currently provides 35% of required funding matched with 65% private lending funds.    These funds do not qualify as match funds under the final rule but are additional resources that allow more projects to be funded and completed.   Additionally, a partnership with Charleston-Kanawha Housing Authority voucher program as created a new way to leverage funds. In order to meet the federal funding Match requirements, the City has documented donated property as described in 92.220. </w:t>
      </w:r>
    </w:p>
    <w:p w:rsidR="00FE3457" w:rsidRDefault="00FE3457" w14:paraId="2A552BBE" w14:textId="77777777">
      <w:pPr>
        <w:widowControl w:val="false"/>
        <w:spacing w:after="0" w:line="240" w:lineRule="auto"/>
        <w:rPr>
          <w:sz w:val="24"/>
          <w:szCs w:val="24"/>
        </w:rPr>
      </w:pPr>
    </w:p>
    <w:p w:rsidR="00FE3457" w:rsidRDefault="00FE3457" w14:paraId="41558D7E" w14:textId="77777777">
      <w:pPr>
        <w:spacing w:after="0" w:line="240" w:lineRule="auto"/>
        <w:rPr>
          <w:b/>
        </w:rPr>
      </w:pPr>
    </w:p>
    <w:p w:rsidR="00FE3457" w:rsidRDefault="00FE3457" w14:paraId="791C0BC8" w14:textId="77777777">
      <w:pPr>
        <w:widowControl w:val="false"/>
        <w:spacing w:line="204" w:lineRule="auto"/>
        <w:rPr>
          <w:rFonts w:cs="Arial"/>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7054"/>
        <w:gridCol w:w="2296"/>
      </w:tblGrid>
      <w:tr w:rsidR="00FE3457" w14:paraId="266A7659" w14:textId="77777777">
        <w:trPr>
          <w:cantSplit/>
          <w:tblHeader/>
        </w:trPr>
        <w:tc>
          <w:tcPr>
            <w:tcW w:w="9576" w:type="dxa"/>
            <w:gridSpan w:val="2"/>
          </w:tcPr>
          <w:p w:rsidR="00FE3457" w:rsidRDefault="005268B9" w14:paraId="35B94E79" w14:textId="77777777">
            <w:pPr>
              <w:keepNext/>
              <w:widowControl w:val="false"/>
              <w:spacing w:after="0" w:line="240" w:lineRule="auto"/>
              <w:jc w:val="center"/>
              <w:rPr>
                <w:rFonts w:cs="Arial"/>
              </w:rPr>
            </w:pPr>
            <w:r>
              <w:rPr>
                <w:b/>
              </w:rPr>
              <w:t>Fiscal Year Summary – HOME Match</w:t>
            </w:r>
          </w:p>
        </w:tc>
      </w:tr>
      <w:tr>
        <w:trPr>
          <w:cantSplit w:val="true"/>
        </w:trPr>
        <w:tc>
          <w:tcPr>
            <w:vAlign w:val="bottom"/>
          </w:tcPr>
          <w:p>
            <w:pPr>
              <w:spacing w:beforeAutospacing="true" w:afterAutospacing="true"/>
              <w:jc w:val="left"/>
            </w:pPr>
            <w:r>
              <w:rPr>
                <w:rFonts w:ascii="Calibri" w:hAnsi="Calibri"/>
                <w:color w:val="000000"/>
                <w:sz w:val="22"/>
              </w:rPr>
              <w:t xml:space="preserve">1. Excess match from prior Federal fiscal year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2. Match contributed during current Federal fiscal year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3. Total match available for current Federal fiscal year (Line 1 plus Line 2)</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4. Match liability for current Federal fiscal year</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5. Excess match carried over to next Federal fiscal year (Line 3 minus Line 4)</w:t>
            </w:r>
          </w:p>
        </w:tc>
        <w:tc>
          <w:tcPr>
            <w:vAlign w:val="bottom"/>
          </w:tcPr>
          <w:p>
            <w:pPr>
              <w:spacing w:beforeAutospacing="true" w:afterAutospacing="true"/>
              <w:jc w:val="right"/>
            </w:pPr>
            <w:r>
              <w:rPr>
                <w:rFonts w:ascii="Calibri" w:hAnsi="Calibri"/>
                <w:color w:val="000000"/>
                <w:sz w:val="22"/>
              </w:rPr>
              <w:t xml:space="preserve">0</w:t>
            </w:r>
          </w:p>
        </w:tc>
      </w:tr>
    </w:tbl>
    <w:p w:rsidR="00FE3457" w:rsidRDefault="005268B9" w14:paraId="7ECC92FB"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5</w:t>
      </w:r>
      <w:r>
        <w:rPr>
          <w:rFonts w:asciiTheme="minorHAnsi" w:hAnsiTheme="minorHAnsi"/>
        </w:rPr>
        <w:fldChar w:fldCharType="end"/>
      </w:r>
      <w:r>
        <w:rPr>
          <w:rFonts w:asciiTheme="minorHAnsi" w:hAnsiTheme="minorHAnsi"/>
        </w:rPr>
        <w:t xml:space="preserve"> – Fiscal Year Summary - HOME Match Report</w:t>
      </w:r>
    </w:p>
    <w:p w:rsidR="00FE3457" w:rsidRDefault="00FE3457" w14:paraId="6D013848" w14:textId="77777777">
      <w:pPr>
        <w:widowControl w:val="false"/>
        <w:spacing w:line="204" w:lineRule="auto"/>
        <w:rPr>
          <w:rFonts w:cs="Arial"/>
        </w:rPr>
      </w:pPr>
    </w:p>
    <w:p w:rsidR="00FE3457" w:rsidRDefault="00FE3457" w14:paraId="104D497C" w14:textId="77777777">
      <w:pPr>
        <w:widowControl w:val="false"/>
        <w:spacing w:line="204" w:lineRule="auto"/>
        <w:rPr>
          <w:rFonts w:cs="Arial"/>
        </w:rPr>
      </w:pPr>
    </w:p>
    <w:p w:rsidR="00FE3457" w:rsidRDefault="00FE3457" w14:paraId="2C344184" w14:textId="77777777">
      <w:pPr>
        <w:keepNext/>
        <w:spacing w:after="0" w:line="240" w:lineRule="auto"/>
        <w:rPr>
          <w:b/>
          <w:sz w:val="24"/>
          <w:szCs w:val="24"/>
        </w:rPr>
        <w:sectPr w:rsidR="00FE3457">
          <w:pgSz w:w="12240" w:h="15840" w:orient="portrait" w:code="1"/>
          <w:pgMar w:top="1440" w:right="1440" w:bottom="1440" w:left="1440" w:header="720" w:footer="720" w:gutter="0"/>
          <w:cols w:space="720"/>
          <w:docGrid w:linePitch="360"/>
        </w:sect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438"/>
        <w:gridCol w:w="1439"/>
        <w:gridCol w:w="1439"/>
        <w:gridCol w:w="1439"/>
        <w:gridCol w:w="1439"/>
        <w:gridCol w:w="1439"/>
        <w:gridCol w:w="1439"/>
        <w:gridCol w:w="1439"/>
        <w:gridCol w:w="1439"/>
      </w:tblGrid>
      <w:tr w:rsidR="00FE3457" w14:paraId="291DDB8B" w14:textId="77777777">
        <w:trPr>
          <w:cantSplit/>
          <w:tblHeader/>
        </w:trPr>
        <w:tc>
          <w:tcPr>
            <w:tcW w:w="13176" w:type="dxa"/>
            <w:gridSpan w:val="9"/>
          </w:tcPr>
          <w:p w:rsidR="00FE3457" w:rsidRDefault="005268B9" w14:paraId="68C254F4" w14:textId="77777777">
            <w:pPr>
              <w:keepNext/>
              <w:widowControl w:val="false"/>
              <w:tabs>
                <w:tab w:val="left" w:pos="405"/>
                <w:tab w:val="center" w:pos="6480"/>
              </w:tabs>
              <w:spacing w:after="0" w:line="240" w:lineRule="auto"/>
              <w:rPr>
                <w:b/>
              </w:rPr>
            </w:pPr>
            <w:r>
              <w:rPr>
                <w:b/>
              </w:rPr>
              <w:tab/>
            </w:r>
            <w:r>
              <w:rPr>
                <w:b/>
              </w:rPr>
              <w:tab/>
            </w:r>
            <w:r>
              <w:rPr>
                <w:b/>
              </w:rPr>
              <w:t>Match Contribution for the Federal Fiscal Year</w:t>
            </w:r>
          </w:p>
        </w:tc>
      </w:tr>
      <w:tr w:rsidR="00FE3457" w14:paraId="324EC240" w14:textId="77777777">
        <w:trPr>
          <w:cantSplit/>
          <w:tblHeader/>
        </w:trPr>
        <w:tc>
          <w:tcPr>
            <w:tcW w:w="1464" w:type="dxa"/>
          </w:tcPr>
          <w:p w:rsidR="00FE3457" w:rsidRDefault="005268B9" w14:paraId="3452D2C7" w14:textId="77777777">
            <w:pPr>
              <w:keepNext/>
              <w:widowControl w:val="false"/>
              <w:spacing w:after="0" w:line="240" w:lineRule="auto"/>
              <w:jc w:val="center"/>
              <w:rPr>
                <w:b/>
                <w:sz w:val="20"/>
                <w:szCs w:val="20"/>
              </w:rPr>
            </w:pPr>
            <w:r>
              <w:rPr>
                <w:b/>
                <w:sz w:val="20"/>
                <w:szCs w:val="20"/>
              </w:rPr>
              <w:t>Project No. or Other ID</w:t>
            </w:r>
          </w:p>
        </w:tc>
        <w:tc>
          <w:tcPr>
            <w:tcW w:w="1464" w:type="dxa"/>
          </w:tcPr>
          <w:p w:rsidR="00FE3457" w:rsidRDefault="005268B9" w14:paraId="0D210707" w14:textId="77777777">
            <w:pPr>
              <w:keepNext/>
              <w:widowControl w:val="false"/>
              <w:spacing w:after="0" w:line="240" w:lineRule="auto"/>
              <w:jc w:val="center"/>
              <w:rPr>
                <w:b/>
                <w:sz w:val="20"/>
                <w:szCs w:val="20"/>
              </w:rPr>
            </w:pPr>
            <w:r>
              <w:rPr>
                <w:b/>
                <w:sz w:val="20"/>
                <w:szCs w:val="20"/>
              </w:rPr>
              <w:t>Date of Contribution</w:t>
            </w:r>
          </w:p>
        </w:tc>
        <w:tc>
          <w:tcPr>
            <w:tcW w:w="1464" w:type="dxa"/>
          </w:tcPr>
          <w:p w:rsidR="00FE3457" w:rsidRDefault="005268B9" w14:paraId="2B3083A3" w14:textId="77777777">
            <w:pPr>
              <w:keepNext/>
              <w:widowControl w:val="false"/>
              <w:spacing w:after="0" w:line="240" w:lineRule="auto"/>
              <w:jc w:val="center"/>
              <w:rPr>
                <w:b/>
                <w:sz w:val="20"/>
                <w:szCs w:val="20"/>
              </w:rPr>
            </w:pPr>
            <w:r>
              <w:rPr>
                <w:b/>
                <w:sz w:val="20"/>
                <w:szCs w:val="20"/>
              </w:rPr>
              <w:t>Cash</w:t>
            </w:r>
          </w:p>
          <w:p w:rsidR="00FE3457" w:rsidRDefault="005268B9" w14:paraId="3BAE31A5" w14:textId="77777777">
            <w:pPr>
              <w:keepNext/>
              <w:widowControl w:val="false"/>
              <w:spacing w:after="0" w:line="240" w:lineRule="auto"/>
              <w:jc w:val="center"/>
              <w:rPr>
                <w:b/>
                <w:sz w:val="20"/>
                <w:szCs w:val="20"/>
              </w:rPr>
            </w:pPr>
            <w:r>
              <w:rPr>
                <w:b/>
                <w:sz w:val="20"/>
                <w:szCs w:val="20"/>
              </w:rPr>
              <w:t>(non-Federal sources)</w:t>
            </w:r>
          </w:p>
        </w:tc>
        <w:tc>
          <w:tcPr>
            <w:tcW w:w="1464" w:type="dxa"/>
          </w:tcPr>
          <w:p w:rsidR="00FE3457" w:rsidRDefault="005268B9" w14:paraId="45F4C056" w14:textId="77777777">
            <w:pPr>
              <w:keepNext/>
              <w:widowControl w:val="false"/>
              <w:spacing w:after="0" w:line="240" w:lineRule="auto"/>
              <w:jc w:val="center"/>
              <w:rPr>
                <w:b/>
                <w:sz w:val="20"/>
                <w:szCs w:val="20"/>
              </w:rPr>
            </w:pPr>
            <w:r>
              <w:rPr>
                <w:b/>
                <w:sz w:val="20"/>
                <w:szCs w:val="20"/>
              </w:rPr>
              <w:t>Foregone Taxes, Fees, Charges</w:t>
            </w:r>
          </w:p>
        </w:tc>
        <w:tc>
          <w:tcPr>
            <w:tcW w:w="1464" w:type="dxa"/>
          </w:tcPr>
          <w:p w:rsidR="00FE3457" w:rsidRDefault="005268B9" w14:paraId="3EF9EAF9" w14:textId="77777777">
            <w:pPr>
              <w:keepNext/>
              <w:widowControl w:val="false"/>
              <w:spacing w:after="0" w:line="240" w:lineRule="auto"/>
              <w:jc w:val="center"/>
              <w:rPr>
                <w:b/>
                <w:sz w:val="20"/>
                <w:szCs w:val="20"/>
              </w:rPr>
            </w:pPr>
            <w:r>
              <w:rPr>
                <w:b/>
                <w:sz w:val="20"/>
                <w:szCs w:val="20"/>
              </w:rPr>
              <w:t>Appraised Land/Real Property</w:t>
            </w:r>
          </w:p>
        </w:tc>
        <w:tc>
          <w:tcPr>
            <w:tcW w:w="1464" w:type="dxa"/>
          </w:tcPr>
          <w:p w:rsidR="00FE3457" w:rsidRDefault="005268B9" w14:paraId="7961DB28" w14:textId="77777777">
            <w:pPr>
              <w:keepNext/>
              <w:widowControl w:val="false"/>
              <w:spacing w:after="0" w:line="240" w:lineRule="auto"/>
              <w:jc w:val="center"/>
              <w:rPr>
                <w:b/>
                <w:sz w:val="20"/>
                <w:szCs w:val="20"/>
              </w:rPr>
            </w:pPr>
            <w:r>
              <w:rPr>
                <w:b/>
                <w:sz w:val="20"/>
                <w:szCs w:val="20"/>
              </w:rPr>
              <w:t>Required Infrastructure</w:t>
            </w:r>
          </w:p>
        </w:tc>
        <w:tc>
          <w:tcPr>
            <w:tcW w:w="1464" w:type="dxa"/>
          </w:tcPr>
          <w:p w:rsidR="00FE3457" w:rsidRDefault="005268B9" w14:paraId="41878D8F" w14:textId="77777777">
            <w:pPr>
              <w:keepNext/>
              <w:widowControl w:val="false"/>
              <w:spacing w:after="0" w:line="240" w:lineRule="auto"/>
              <w:jc w:val="center"/>
              <w:rPr>
                <w:b/>
                <w:sz w:val="20"/>
                <w:szCs w:val="20"/>
              </w:rPr>
            </w:pPr>
            <w:r>
              <w:rPr>
                <w:b/>
                <w:sz w:val="20"/>
                <w:szCs w:val="20"/>
              </w:rPr>
              <w:t>Site Preparation, Construction Materials, Donated labor</w:t>
            </w:r>
          </w:p>
        </w:tc>
        <w:tc>
          <w:tcPr>
            <w:tcW w:w="1464" w:type="dxa"/>
          </w:tcPr>
          <w:p w:rsidR="00FE3457" w:rsidRDefault="005268B9" w14:paraId="758B2F8E" w14:textId="77777777">
            <w:pPr>
              <w:keepNext/>
              <w:widowControl w:val="false"/>
              <w:spacing w:after="0" w:line="240" w:lineRule="auto"/>
              <w:jc w:val="center"/>
              <w:rPr>
                <w:b/>
                <w:sz w:val="20"/>
                <w:szCs w:val="20"/>
              </w:rPr>
            </w:pPr>
            <w:r>
              <w:rPr>
                <w:b/>
                <w:sz w:val="20"/>
                <w:szCs w:val="20"/>
              </w:rPr>
              <w:t>Bond Financing</w:t>
            </w:r>
          </w:p>
        </w:tc>
        <w:tc>
          <w:tcPr>
            <w:tcW w:w="1464" w:type="dxa"/>
          </w:tcPr>
          <w:p w:rsidR="00FE3457" w:rsidRDefault="005268B9" w14:paraId="37F0094C" w14:textId="77777777">
            <w:pPr>
              <w:keepNext/>
              <w:widowControl w:val="false"/>
              <w:spacing w:after="0" w:line="240" w:lineRule="auto"/>
              <w:jc w:val="center"/>
              <w:rPr>
                <w:b/>
                <w:sz w:val="20"/>
                <w:szCs w:val="20"/>
              </w:rPr>
            </w:pPr>
            <w:r>
              <w:rPr>
                <w:b/>
                <w:sz w:val="20"/>
                <w:szCs w:val="20"/>
              </w:rPr>
              <w:t>Total Match</w:t>
            </w:r>
          </w:p>
        </w:tc>
      </w:tr>
      <w:tr>
        <w:trPr>
          <w:cantSplit w:val="true"/>
        </w:trPr>
        <w:tc>
          <w:tcPr>
            <w:vAlign w:val="bottom"/>
          </w:tcPr>
          <w:p>
            <w:pPr>
              <w:spacing w:beforeAutospacing="true" w:afterAutospacing="true"/>
              <w:jc w:val="right"/>
            </w:pPr>
            <w:r>
              <w:rPr>
                <w:rFonts w:ascii="Calibri" w:hAnsi="Calibri"/>
                <w:color w:val="000000"/>
                <w:sz w:val="22"/>
              </w:rPr>
              <w:t xml:space="preserve">1921</w:t>
            </w:r>
          </w:p>
        </w:tc>
        <w:tc>
          <w:tcPr>
            <w:vAlign w:val="bottom"/>
          </w:tcPr>
          <w:p>
            <w:pPr>
              <w:spacing w:beforeAutospacing="true" w:afterAutospacing="true"/>
              <w:jc w:val="right"/>
            </w:pPr>
            <w:r>
              <w:rPr>
                <w:rFonts w:ascii="Calibri" w:hAnsi="Calibri"/>
                <w:color w:val="000000"/>
                <w:sz w:val="22"/>
              </w:rPr>
              <w:t xml:space="preserve">10/04/2024</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4,500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4,500</w:t>
            </w:r>
          </w:p>
        </w:tc>
      </w:tr>
      <w:tr>
        <w:trPr>
          <w:cantSplit w:val="true"/>
        </w:trPr>
        <w:tc>
          <w:tcPr>
            <w:vAlign w:val="bottom"/>
          </w:tcPr>
          <w:p>
            <w:pPr>
              <w:spacing w:beforeAutospacing="true" w:afterAutospacing="true"/>
              <w:jc w:val="right"/>
            </w:pPr>
            <w:r>
              <w:rPr>
                <w:rFonts w:ascii="Calibri" w:hAnsi="Calibri"/>
                <w:color w:val="000000"/>
                <w:sz w:val="22"/>
              </w:rPr>
              <w:t xml:space="preserve">1922</w:t>
            </w:r>
          </w:p>
        </w:tc>
        <w:tc>
          <w:tcPr>
            <w:vAlign w:val="bottom"/>
          </w:tcPr>
          <w:p>
            <w:pPr>
              <w:spacing w:beforeAutospacing="true" w:afterAutospacing="true"/>
              <w:jc w:val="right"/>
            </w:pPr>
            <w:r>
              <w:rPr>
                <w:rFonts w:ascii="Calibri" w:hAnsi="Calibri"/>
                <w:color w:val="000000"/>
                <w:sz w:val="22"/>
              </w:rPr>
              <w:t xml:space="preserve">10/25/2024</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5,000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5,000</w:t>
            </w:r>
          </w:p>
        </w:tc>
      </w:tr>
      <w:tr>
        <w:trPr>
          <w:cantSplit w:val="true"/>
        </w:trPr>
        <w:tc>
          <w:tcPr>
            <w:vAlign w:val="bottom"/>
          </w:tcPr>
          <w:p>
            <w:pPr>
              <w:spacing w:beforeAutospacing="true" w:afterAutospacing="true"/>
              <w:jc w:val="right"/>
            </w:pPr>
            <w:r>
              <w:rPr>
                <w:rFonts w:ascii="Calibri" w:hAnsi="Calibri"/>
                <w:color w:val="000000"/>
                <w:sz w:val="22"/>
              </w:rPr>
              <w:t xml:space="preserve">1923</w:t>
            </w:r>
          </w:p>
        </w:tc>
        <w:tc>
          <w:tcPr>
            <w:vAlign w:val="bottom"/>
          </w:tcPr>
          <w:p>
            <w:pPr>
              <w:spacing w:beforeAutospacing="true" w:afterAutospacing="true"/>
              <w:jc w:val="right"/>
            </w:pPr>
            <w:r>
              <w:rPr>
                <w:rFonts w:ascii="Calibri" w:hAnsi="Calibri"/>
                <w:color w:val="000000"/>
                <w:sz w:val="22"/>
              </w:rPr>
              <w:t xml:space="preserve">11/15/2024</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7,200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7,200</w:t>
            </w:r>
          </w:p>
        </w:tc>
      </w:tr>
      <w:tr>
        <w:trPr>
          <w:cantSplit w:val="true"/>
        </w:trPr>
        <w:tc>
          <w:tcPr>
            <w:vAlign w:val="bottom"/>
          </w:tcPr>
          <w:p>
            <w:pPr>
              <w:spacing w:beforeAutospacing="true" w:afterAutospacing="true"/>
              <w:jc w:val="right"/>
            </w:pPr>
            <w:r>
              <w:rPr>
                <w:rFonts w:ascii="Calibri" w:hAnsi="Calibri"/>
                <w:color w:val="000000"/>
                <w:sz w:val="22"/>
              </w:rPr>
              <w:t xml:space="preserve">1924</w:t>
            </w:r>
          </w:p>
        </w:tc>
        <w:tc>
          <w:tcPr>
            <w:vAlign w:val="bottom"/>
          </w:tcPr>
          <w:p>
            <w:pPr>
              <w:spacing w:beforeAutospacing="true" w:afterAutospacing="true"/>
              <w:jc w:val="right"/>
            </w:pPr>
            <w:r>
              <w:rPr>
                <w:rFonts w:ascii="Calibri" w:hAnsi="Calibri"/>
                <w:color w:val="000000"/>
                <w:sz w:val="22"/>
              </w:rPr>
              <w:t xml:space="preserve">11/22/2024</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3,500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3,500</w:t>
            </w:r>
          </w:p>
        </w:tc>
      </w:tr>
      <w:tr>
        <w:trPr>
          <w:cantSplit w:val="true"/>
        </w:trPr>
        <w:tc>
          <w:tcPr>
            <w:vAlign w:val="bottom"/>
          </w:tcPr>
          <w:p>
            <w:pPr>
              <w:spacing w:beforeAutospacing="true" w:afterAutospacing="true"/>
              <w:jc w:val="right"/>
            </w:pPr>
            <w:r>
              <w:rPr>
                <w:rFonts w:ascii="Calibri" w:hAnsi="Calibri"/>
                <w:color w:val="000000"/>
                <w:sz w:val="22"/>
              </w:rPr>
              <w:t xml:space="preserve">1925</w:t>
            </w:r>
          </w:p>
        </w:tc>
        <w:tc>
          <w:tcPr>
            <w:vAlign w:val="bottom"/>
          </w:tcPr>
          <w:p>
            <w:pPr>
              <w:spacing w:beforeAutospacing="true" w:afterAutospacing="true"/>
              <w:jc w:val="right"/>
            </w:pPr>
            <w:r>
              <w:rPr>
                <w:rFonts w:ascii="Calibri" w:hAnsi="Calibri"/>
                <w:color w:val="000000"/>
                <w:sz w:val="22"/>
              </w:rPr>
              <w:t xml:space="preserve">12/06/2024</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6,000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6,000</w:t>
            </w:r>
          </w:p>
        </w:tc>
      </w:tr>
      <w:tr>
        <w:trPr>
          <w:cantSplit w:val="true"/>
        </w:trPr>
        <w:tc>
          <w:tcPr>
            <w:vAlign w:val="bottom"/>
          </w:tcPr>
          <w:p>
            <w:pPr>
              <w:spacing w:beforeAutospacing="true" w:afterAutospacing="true"/>
              <w:jc w:val="right"/>
            </w:pPr>
            <w:r>
              <w:rPr>
                <w:rFonts w:ascii="Calibri" w:hAnsi="Calibri"/>
                <w:color w:val="000000"/>
                <w:sz w:val="22"/>
              </w:rPr>
              <w:t xml:space="preserve">1926</w:t>
            </w:r>
          </w:p>
        </w:tc>
        <w:tc>
          <w:tcPr>
            <w:vAlign w:val="bottom"/>
          </w:tcPr>
          <w:p>
            <w:pPr>
              <w:spacing w:beforeAutospacing="true" w:afterAutospacing="true"/>
              <w:jc w:val="right"/>
            </w:pPr>
            <w:r>
              <w:rPr>
                <w:rFonts w:ascii="Calibri" w:hAnsi="Calibri"/>
                <w:color w:val="000000"/>
                <w:sz w:val="22"/>
              </w:rPr>
              <w:t xml:space="preserve">12/13/2024</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300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300</w:t>
            </w:r>
          </w:p>
        </w:tc>
      </w:tr>
      <w:tr>
        <w:trPr>
          <w:cantSplit w:val="true"/>
        </w:trPr>
        <w:tc>
          <w:tcPr>
            <w:vAlign w:val="bottom"/>
          </w:tcPr>
          <w:p>
            <w:pPr>
              <w:spacing w:beforeAutospacing="true" w:afterAutospacing="true"/>
              <w:jc w:val="right"/>
            </w:pPr>
            <w:r>
              <w:rPr>
                <w:rFonts w:ascii="Calibri" w:hAnsi="Calibri"/>
                <w:color w:val="000000"/>
                <w:sz w:val="22"/>
              </w:rPr>
              <w:t xml:space="preserve">1927</w:t>
            </w:r>
          </w:p>
        </w:tc>
        <w:tc>
          <w:tcPr>
            <w:vAlign w:val="bottom"/>
          </w:tcPr>
          <w:p>
            <w:pPr>
              <w:spacing w:beforeAutospacing="true" w:afterAutospacing="true"/>
              <w:jc w:val="right"/>
            </w:pPr>
            <w:r>
              <w:rPr>
                <w:rFonts w:ascii="Calibri" w:hAnsi="Calibri"/>
                <w:color w:val="000000"/>
                <w:sz w:val="22"/>
              </w:rPr>
              <w:t xml:space="preserve">12/20/2024</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29,000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29,000</w:t>
            </w:r>
          </w:p>
        </w:tc>
      </w:tr>
      <w:tr>
        <w:trPr>
          <w:cantSplit w:val="true"/>
        </w:trPr>
        <w:tc>
          <w:tcPr>
            <w:vAlign w:val="bottom"/>
          </w:tcPr>
          <w:p>
            <w:pPr>
              <w:spacing w:beforeAutospacing="true" w:afterAutospacing="true"/>
              <w:jc w:val="right"/>
            </w:pPr>
            <w:r>
              <w:rPr>
                <w:rFonts w:ascii="Calibri" w:hAnsi="Calibri"/>
                <w:color w:val="000000"/>
                <w:sz w:val="22"/>
              </w:rPr>
              <w:t xml:space="preserve">1928</w:t>
            </w:r>
          </w:p>
        </w:tc>
        <w:tc>
          <w:tcPr>
            <w:vAlign w:val="bottom"/>
          </w:tcPr>
          <w:p>
            <w:pPr>
              <w:spacing w:beforeAutospacing="true" w:afterAutospacing="true"/>
              <w:jc w:val="right"/>
            </w:pPr>
            <w:r>
              <w:rPr>
                <w:rFonts w:ascii="Calibri" w:hAnsi="Calibri"/>
                <w:color w:val="000000"/>
                <w:sz w:val="22"/>
              </w:rPr>
              <w:t xml:space="preserve">01/10/2025</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41,000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41,000</w:t>
            </w:r>
          </w:p>
        </w:tc>
      </w:tr>
      <w:tr>
        <w:trPr>
          <w:cantSplit w:val="true"/>
        </w:trPr>
        <w:tc>
          <w:tcPr>
            <w:vAlign w:val="bottom"/>
          </w:tcPr>
          <w:p>
            <w:pPr>
              <w:spacing w:beforeAutospacing="true" w:afterAutospacing="true"/>
              <w:jc w:val="right"/>
            </w:pPr>
            <w:r>
              <w:rPr>
                <w:rFonts w:ascii="Calibri" w:hAnsi="Calibri"/>
                <w:color w:val="000000"/>
                <w:sz w:val="22"/>
              </w:rPr>
              <w:t xml:space="preserve">1929</w:t>
            </w:r>
          </w:p>
        </w:tc>
        <w:tc>
          <w:tcPr>
            <w:vAlign w:val="bottom"/>
          </w:tcPr>
          <w:p>
            <w:pPr>
              <w:spacing w:beforeAutospacing="true" w:afterAutospacing="true"/>
              <w:jc w:val="right"/>
            </w:pPr>
            <w:r>
              <w:rPr>
                <w:rFonts w:ascii="Calibri" w:hAnsi="Calibri"/>
                <w:color w:val="000000"/>
                <w:sz w:val="22"/>
              </w:rPr>
              <w:t xml:space="preserve">01/10/2025</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1,000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1,000</w:t>
            </w:r>
          </w:p>
        </w:tc>
      </w:tr>
      <w:tr>
        <w:trPr>
          <w:cantSplit w:val="true"/>
        </w:trPr>
        <w:tc>
          <w:tcPr>
            <w:vAlign w:val="bottom"/>
          </w:tcPr>
          <w:p>
            <w:pPr>
              <w:spacing w:beforeAutospacing="true" w:afterAutospacing="true"/>
              <w:jc w:val="right"/>
            </w:pPr>
            <w:r>
              <w:rPr>
                <w:rFonts w:ascii="Calibri" w:hAnsi="Calibri"/>
                <w:color w:val="000000"/>
                <w:sz w:val="22"/>
              </w:rPr>
              <w:t xml:space="preserve">1930</w:t>
            </w:r>
          </w:p>
        </w:tc>
        <w:tc>
          <w:tcPr>
            <w:vAlign w:val="bottom"/>
          </w:tcPr>
          <w:p>
            <w:pPr>
              <w:spacing w:beforeAutospacing="true" w:afterAutospacing="true"/>
              <w:jc w:val="right"/>
            </w:pPr>
            <w:r>
              <w:rPr>
                <w:rFonts w:ascii="Calibri" w:hAnsi="Calibri"/>
                <w:color w:val="000000"/>
                <w:sz w:val="22"/>
              </w:rPr>
              <w:t xml:space="preserve">01/17/2025</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11,745</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11,745</w:t>
            </w:r>
          </w:p>
        </w:tc>
      </w:tr>
      <w:tr>
        <w:trPr>
          <w:cantSplit w:val="true"/>
        </w:trPr>
        <w:tc>
          <w:tcPr>
            <w:vAlign w:val="bottom"/>
          </w:tcPr>
          <w:p>
            <w:pPr>
              <w:spacing w:beforeAutospacing="true" w:afterAutospacing="true"/>
              <w:jc w:val="right"/>
            </w:pPr>
            <w:r>
              <w:rPr>
                <w:rFonts w:ascii="Calibri" w:hAnsi="Calibri"/>
                <w:color w:val="000000"/>
                <w:sz w:val="22"/>
              </w:rPr>
              <w:t xml:space="preserve">1935</w:t>
            </w:r>
          </w:p>
        </w:tc>
        <w:tc>
          <w:tcPr>
            <w:vAlign w:val="bottom"/>
          </w:tcPr>
          <w:p>
            <w:pPr>
              <w:spacing w:beforeAutospacing="true" w:afterAutospacing="true"/>
              <w:jc w:val="right"/>
            </w:pPr>
            <w:r>
              <w:rPr>
                <w:rFonts w:ascii="Calibri" w:hAnsi="Calibri"/>
                <w:color w:val="000000"/>
                <w:sz w:val="22"/>
              </w:rPr>
              <w:t xml:space="preserve">09/05/2025</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94,000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94,000</w:t>
            </w:r>
          </w:p>
        </w:tc>
      </w:tr>
      <w:tr>
        <w:trPr>
          <w:cantSplit w:val="true"/>
        </w:trPr>
        <w:tc>
          <w:tcPr>
            <w:vAlign w:val="bottom"/>
          </w:tcPr>
          <w:p>
            <w:pPr>
              <w:spacing w:beforeAutospacing="true" w:afterAutospacing="true"/>
              <w:jc w:val="right"/>
            </w:pPr>
            <w:r>
              <w:rPr>
                <w:rFonts w:ascii="Calibri" w:hAnsi="Calibri"/>
                <w:color w:val="000000"/>
                <w:sz w:val="22"/>
              </w:rPr>
              <w:t xml:space="preserve">1936</w:t>
            </w:r>
          </w:p>
        </w:tc>
        <w:tc>
          <w:tcPr>
            <w:vAlign w:val="bottom"/>
          </w:tcPr>
          <w:p>
            <w:pPr>
              <w:spacing w:beforeAutospacing="true" w:afterAutospacing="true"/>
              <w:jc w:val="right"/>
            </w:pPr>
            <w:r>
              <w:rPr>
                <w:rFonts w:ascii="Calibri" w:hAnsi="Calibri"/>
                <w:color w:val="000000"/>
                <w:sz w:val="22"/>
              </w:rPr>
              <w:t xml:space="preserve">09/12/2026</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1,200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1,200</w:t>
            </w:r>
          </w:p>
        </w:tc>
      </w:tr>
      <w:tr>
        <w:trPr>
          <w:cantSplit w:val="true"/>
        </w:trPr>
        <w:tc>
          <w:tcPr>
            <w:vAlign w:val="bottom"/>
          </w:tcPr>
          <w:p>
            <w:pPr>
              <w:spacing w:beforeAutospacing="true" w:afterAutospacing="true"/>
              <w:jc w:val="right"/>
            </w:pPr>
            <w:r>
              <w:rPr>
                <w:rFonts w:ascii="Calibri" w:hAnsi="Calibri"/>
                <w:color w:val="000000"/>
                <w:sz w:val="22"/>
              </w:rPr>
              <w:t xml:space="preserve">1937</w:t>
            </w:r>
          </w:p>
        </w:tc>
        <w:tc>
          <w:tcPr>
            <w:vAlign w:val="bottom"/>
          </w:tcPr>
          <w:p>
            <w:pPr>
              <w:spacing w:beforeAutospacing="true" w:afterAutospacing="true"/>
              <w:jc w:val="right"/>
            </w:pPr>
            <w:r>
              <w:rPr>
                <w:rFonts w:ascii="Calibri" w:hAnsi="Calibri"/>
                <w:color w:val="000000"/>
                <w:sz w:val="22"/>
              </w:rPr>
              <w:t xml:space="preserve">09/12/2025</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5,000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5,000</w:t>
            </w:r>
          </w:p>
        </w:tc>
      </w:tr>
    </w:tbl>
    <w:p w:rsidR="00FE3457" w:rsidRDefault="005268B9" w14:paraId="11FD0690"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6</w:t>
      </w:r>
      <w:r>
        <w:rPr>
          <w:rFonts w:asciiTheme="minorHAnsi" w:hAnsiTheme="minorHAnsi"/>
        </w:rPr>
        <w:fldChar w:fldCharType="end"/>
      </w:r>
      <w:r>
        <w:rPr>
          <w:rFonts w:asciiTheme="minorHAnsi" w:hAnsiTheme="minorHAnsi"/>
        </w:rPr>
        <w:t xml:space="preserve"> – Match Contribution for the Federal Fiscal Year</w:t>
      </w:r>
    </w:p>
    <w:p w:rsidR="00FE3457" w:rsidRDefault="00FE3457" w14:paraId="064791A8" w14:textId="77777777"/>
    <w:p w:rsidR="00FE3457" w:rsidRDefault="005268B9" w14:paraId="2682203E" w14:textId="77777777">
      <w:pPr>
        <w:widowControl w:val="false"/>
        <w:spacing w:line="204" w:lineRule="auto"/>
        <w:rPr>
          <w:b/>
          <w:sz w:val="24"/>
          <w:szCs w:val="24"/>
        </w:rPr>
      </w:pPr>
      <w:r>
        <w:rPr>
          <w:b/>
          <w:sz w:val="24"/>
          <w:szCs w:val="24"/>
        </w:rPr>
        <w:t>HOME MBE/WBE report</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2589"/>
        <w:gridCol w:w="2590"/>
        <w:gridCol w:w="2590"/>
        <w:gridCol w:w="2590"/>
        <w:gridCol w:w="2591"/>
      </w:tblGrid>
      <w:tr w:rsidR="00FE3457" w14:paraId="46BD6030" w14:textId="77777777">
        <w:trPr>
          <w:cantSplit/>
          <w:tblHeader/>
        </w:trPr>
        <w:tc>
          <w:tcPr>
            <w:tcW w:w="13176" w:type="dxa"/>
            <w:gridSpan w:val="5"/>
          </w:tcPr>
          <w:p w:rsidR="00FE3457" w:rsidRDefault="005268B9" w14:paraId="2FAA639D" w14:textId="77777777">
            <w:pPr>
              <w:keepNext/>
              <w:widowControl w:val="false"/>
              <w:spacing w:after="0" w:line="240" w:lineRule="auto"/>
              <w:rPr>
                <w:b/>
              </w:rPr>
            </w:pPr>
            <w:r>
              <w:rPr>
                <w:b/>
              </w:rPr>
              <w:t xml:space="preserve">Program Income </w:t>
            </w:r>
            <w:r>
              <w:t>– Enter the program amounts for the reporting period</w:t>
            </w:r>
          </w:p>
        </w:tc>
      </w:tr>
      <w:tr w:rsidR="00FE3457" w14:paraId="175785A5" w14:textId="77777777">
        <w:trPr>
          <w:cantSplit/>
          <w:tblHeader/>
        </w:trPr>
        <w:tc>
          <w:tcPr>
            <w:tcW w:w="2635" w:type="dxa"/>
          </w:tcPr>
          <w:p w:rsidR="00FE3457" w:rsidRDefault="005268B9" w14:paraId="5A76CD2C" w14:textId="77777777">
            <w:pPr>
              <w:keepNext/>
              <w:spacing w:after="0" w:line="240" w:lineRule="auto"/>
              <w:jc w:val="center"/>
              <w:rPr>
                <w:b/>
              </w:rPr>
            </w:pPr>
            <w:r>
              <w:rPr>
                <w:b/>
              </w:rPr>
              <w:t>Balance on hand at begin-ning of reporting period</w:t>
            </w:r>
          </w:p>
          <w:p w:rsidR="00FE3457" w:rsidRDefault="005268B9" w14:paraId="50771870" w14:textId="77777777">
            <w:pPr>
              <w:keepNext/>
              <w:spacing w:after="0" w:line="240" w:lineRule="auto"/>
              <w:jc w:val="center"/>
              <w:rPr>
                <w:b/>
              </w:rPr>
            </w:pPr>
            <w:r>
              <w:rPr>
                <w:b/>
              </w:rPr>
              <w:t>$</w:t>
            </w:r>
          </w:p>
        </w:tc>
        <w:tc>
          <w:tcPr>
            <w:tcW w:w="2635" w:type="dxa"/>
          </w:tcPr>
          <w:p w:rsidR="00FE3457" w:rsidRDefault="005268B9" w14:paraId="4E80C41A" w14:textId="77777777">
            <w:pPr>
              <w:keepNext/>
              <w:spacing w:after="0" w:line="240" w:lineRule="auto"/>
              <w:jc w:val="center"/>
              <w:rPr>
                <w:b/>
              </w:rPr>
            </w:pPr>
            <w:r>
              <w:rPr>
                <w:b/>
              </w:rPr>
              <w:t>Amount received during reporting period</w:t>
            </w:r>
          </w:p>
          <w:p w:rsidR="00FE3457" w:rsidRDefault="005268B9" w14:paraId="1833FC43" w14:textId="77777777">
            <w:pPr>
              <w:keepNext/>
              <w:spacing w:after="0" w:line="240" w:lineRule="auto"/>
              <w:jc w:val="center"/>
              <w:rPr>
                <w:b/>
              </w:rPr>
            </w:pPr>
            <w:r>
              <w:rPr>
                <w:b/>
              </w:rPr>
              <w:t>$</w:t>
            </w:r>
          </w:p>
        </w:tc>
        <w:tc>
          <w:tcPr>
            <w:tcW w:w="2635" w:type="dxa"/>
          </w:tcPr>
          <w:p w:rsidR="00FE3457" w:rsidRDefault="005268B9" w14:paraId="35FACFE9" w14:textId="77777777">
            <w:pPr>
              <w:keepNext/>
              <w:spacing w:after="0" w:line="240" w:lineRule="auto"/>
              <w:jc w:val="center"/>
              <w:rPr>
                <w:b/>
              </w:rPr>
            </w:pPr>
            <w:r>
              <w:rPr>
                <w:b/>
              </w:rPr>
              <w:t>Total amount expended during reporting period</w:t>
            </w:r>
          </w:p>
          <w:p w:rsidR="00FE3457" w:rsidRDefault="005268B9" w14:paraId="63DF50C0" w14:textId="77777777">
            <w:pPr>
              <w:keepNext/>
              <w:spacing w:after="0" w:line="240" w:lineRule="auto"/>
              <w:jc w:val="center"/>
              <w:rPr>
                <w:b/>
              </w:rPr>
            </w:pPr>
            <w:r>
              <w:rPr>
                <w:b/>
              </w:rPr>
              <w:t>$</w:t>
            </w:r>
          </w:p>
        </w:tc>
        <w:tc>
          <w:tcPr>
            <w:tcW w:w="2635" w:type="dxa"/>
          </w:tcPr>
          <w:p w:rsidR="00FE3457" w:rsidRDefault="005268B9" w14:paraId="43D5E317" w14:textId="77777777">
            <w:pPr>
              <w:keepNext/>
              <w:spacing w:after="0" w:line="240" w:lineRule="auto"/>
              <w:jc w:val="center"/>
              <w:rPr>
                <w:b/>
              </w:rPr>
            </w:pPr>
            <w:r>
              <w:rPr>
                <w:b/>
              </w:rPr>
              <w:t>Amount expended for TBRA</w:t>
            </w:r>
          </w:p>
          <w:p w:rsidR="00FE3457" w:rsidRDefault="005268B9" w14:paraId="08DC0AB5" w14:textId="77777777">
            <w:pPr>
              <w:keepNext/>
              <w:spacing w:after="0" w:line="240" w:lineRule="auto"/>
              <w:jc w:val="center"/>
              <w:rPr>
                <w:b/>
              </w:rPr>
            </w:pPr>
            <w:r>
              <w:rPr>
                <w:b/>
              </w:rPr>
              <w:t>$</w:t>
            </w:r>
          </w:p>
        </w:tc>
        <w:tc>
          <w:tcPr>
            <w:tcW w:w="2636" w:type="dxa"/>
          </w:tcPr>
          <w:p w:rsidR="00FE3457" w:rsidRDefault="005268B9" w14:paraId="4916F60A" w14:textId="77777777">
            <w:pPr>
              <w:keepNext/>
              <w:spacing w:after="0" w:line="240" w:lineRule="auto"/>
              <w:jc w:val="center"/>
              <w:rPr>
                <w:b/>
              </w:rPr>
            </w:pPr>
            <w:r>
              <w:rPr>
                <w:b/>
              </w:rPr>
              <w:t>Balance on hand at end of reporting period</w:t>
            </w:r>
          </w:p>
          <w:p w:rsidR="00FE3457" w:rsidRDefault="005268B9" w14:paraId="3F82C555" w14:textId="77777777">
            <w:pPr>
              <w:keepNext/>
              <w:spacing w:after="0" w:line="240" w:lineRule="auto"/>
              <w:jc w:val="center"/>
              <w:rPr>
                <w:b/>
              </w:rPr>
            </w:pPr>
            <w:r>
              <w:rPr>
                <w:b/>
              </w:rPr>
              <w:t>$</w:t>
            </w:r>
          </w:p>
        </w:tc>
      </w:tr>
      <w:tr>
        <w:trPr>
          <w:cantSplit w:val="true"/>
        </w:trPr>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rsidR="00FE3457" w:rsidRDefault="005268B9" w14:paraId="77AE0D24"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7</w:t>
      </w:r>
      <w:r>
        <w:rPr>
          <w:rFonts w:asciiTheme="minorHAnsi" w:hAnsiTheme="minorHAnsi"/>
        </w:rPr>
        <w:fldChar w:fldCharType="end"/>
      </w:r>
      <w:r>
        <w:rPr>
          <w:rFonts w:asciiTheme="minorHAnsi" w:hAnsiTheme="minorHAnsi"/>
        </w:rPr>
        <w:t xml:space="preserve"> – Program Income</w:t>
      </w:r>
    </w:p>
    <w:p w:rsidR="00FE3457" w:rsidRDefault="00FE3457" w14:paraId="364B0712" w14:textId="77777777">
      <w:pPr>
        <w:widowControl w:val="false"/>
        <w:spacing w:after="0" w:line="240" w:lineRule="auto"/>
        <w:rPr>
          <w:b/>
          <w:sz w:val="20"/>
          <w:szCs w:val="20"/>
        </w:rPr>
      </w:pPr>
    </w:p>
    <w:p w:rsidR="00FE3457" w:rsidRDefault="00FE3457" w14:paraId="38A4CB42" w14:textId="77777777">
      <w:pPr>
        <w:widowControl w:val="false"/>
        <w:spacing w:after="0" w:line="240" w:lineRule="auto"/>
        <w:jc w:val="center"/>
        <w:rPr>
          <w:b/>
          <w:sz w:val="20"/>
          <w:szCs w:val="20"/>
        </w:rPr>
        <w:sectPr w:rsidR="00FE3457">
          <w:pgSz w:w="15840" w:h="12240" w:orient="landscape" w:code="1"/>
          <w:pgMar w:top="1440" w:right="1440" w:bottom="1440" w:left="1440" w:header="720" w:footer="720" w:gutter="0"/>
          <w:cols w:space="720"/>
          <w:docGrid w:linePitch="360"/>
        </w:sect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9350"/>
      </w:tblGrid>
      <w:tr w:rsidR="00FE3457" w14:paraId="0D1E925B" w14:textId="77777777">
        <w:tc>
          <w:tcPr>
            <w:tcW w:w="9576" w:type="dxa"/>
          </w:tcPr>
          <w:p w:rsidR="00FE3457" w:rsidRDefault="005268B9" w14:paraId="0C54D798" w14:textId="77777777">
            <w:pPr>
              <w:keepNext/>
              <w:widowControl w:val="false"/>
              <w:spacing w:after="0" w:line="240" w:lineRule="auto"/>
              <w:rPr>
                <w:b/>
              </w:rPr>
            </w:pPr>
            <w:r>
              <w:rPr>
                <w:b/>
              </w:rPr>
              <w:t xml:space="preserve">Minority Business Enterprises and Women Business Enterprises – </w:t>
            </w:r>
            <w:r>
              <w:t>Indicate the number and dollar value of contracts for HOME projects completed during the reporting period</w:t>
            </w:r>
          </w:p>
        </w:tc>
      </w:tr>
    </w:tbl>
    <w:p w:rsidR="00FE3457" w:rsidRDefault="00FE3457" w14:paraId="46F391E9" w14:textId="77777777">
      <w:pPr>
        <w:keepNext/>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35"/>
        <w:gridCol w:w="1335"/>
        <w:gridCol w:w="1336"/>
        <w:gridCol w:w="1336"/>
        <w:gridCol w:w="1336"/>
        <w:gridCol w:w="1336"/>
        <w:gridCol w:w="1336"/>
      </w:tblGrid>
      <w:tr w:rsidR="00FE3457" w14:paraId="2B8B3D57" w14:textId="77777777">
        <w:trPr>
          <w:cantSplit/>
        </w:trPr>
        <w:tc>
          <w:tcPr>
            <w:tcW w:w="1368" w:type="dxa"/>
            <w:vMerge w:val="restart"/>
          </w:tcPr>
          <w:p w:rsidR="00FE3457" w:rsidRDefault="00FE3457" w14:paraId="28AC1B28" w14:textId="77777777">
            <w:pPr>
              <w:keepNext/>
              <w:widowControl w:val="false"/>
              <w:spacing w:after="0" w:line="240" w:lineRule="auto"/>
              <w:rPr>
                <w:b/>
              </w:rPr>
            </w:pPr>
          </w:p>
        </w:tc>
        <w:tc>
          <w:tcPr>
            <w:tcW w:w="1368" w:type="dxa"/>
            <w:vMerge w:val="restart"/>
          </w:tcPr>
          <w:p w:rsidR="00FE3457" w:rsidRDefault="005268B9" w14:paraId="09A087E2" w14:textId="77777777">
            <w:pPr>
              <w:keepNext/>
              <w:widowControl w:val="false"/>
              <w:spacing w:after="0" w:line="240" w:lineRule="auto"/>
              <w:jc w:val="center"/>
              <w:rPr>
                <w:b/>
              </w:rPr>
            </w:pPr>
            <w:r>
              <w:rPr>
                <w:b/>
              </w:rPr>
              <w:t>Total</w:t>
            </w:r>
          </w:p>
        </w:tc>
        <w:tc>
          <w:tcPr>
            <w:tcW w:w="5472" w:type="dxa"/>
            <w:gridSpan w:val="4"/>
          </w:tcPr>
          <w:p w:rsidR="00FE3457" w:rsidRDefault="005268B9" w14:paraId="0727D041" w14:textId="77777777">
            <w:pPr>
              <w:keepNext/>
              <w:widowControl w:val="false"/>
              <w:spacing w:after="0" w:line="240" w:lineRule="auto"/>
              <w:jc w:val="center"/>
              <w:rPr>
                <w:b/>
              </w:rPr>
            </w:pPr>
            <w:r>
              <w:rPr>
                <w:b/>
              </w:rPr>
              <w:t>Minority Business Enterprises</w:t>
            </w:r>
          </w:p>
        </w:tc>
        <w:tc>
          <w:tcPr>
            <w:tcW w:w="1368" w:type="dxa"/>
            <w:vMerge w:val="restart"/>
          </w:tcPr>
          <w:p w:rsidR="00FE3457" w:rsidRDefault="005268B9" w14:paraId="4D196A8A" w14:textId="77777777">
            <w:pPr>
              <w:keepNext/>
              <w:widowControl w:val="false"/>
              <w:spacing w:after="0" w:line="240" w:lineRule="auto"/>
              <w:jc w:val="center"/>
              <w:rPr>
                <w:b/>
              </w:rPr>
            </w:pPr>
            <w:r>
              <w:rPr>
                <w:b/>
              </w:rPr>
              <w:t>White Non-Hispanic</w:t>
            </w:r>
          </w:p>
        </w:tc>
      </w:tr>
      <w:tr w:rsidR="00FE3457" w14:paraId="21663D80" w14:textId="77777777">
        <w:trPr>
          <w:cantSplit/>
        </w:trPr>
        <w:tc>
          <w:tcPr>
            <w:tcW w:w="1368" w:type="dxa"/>
            <w:vMerge/>
          </w:tcPr>
          <w:p w:rsidR="00FE3457" w:rsidRDefault="00FE3457" w14:paraId="59DE7374" w14:textId="77777777">
            <w:pPr>
              <w:keepNext/>
              <w:widowControl w:val="false"/>
              <w:spacing w:after="0" w:line="240" w:lineRule="auto"/>
              <w:rPr>
                <w:b/>
              </w:rPr>
            </w:pPr>
          </w:p>
        </w:tc>
        <w:tc>
          <w:tcPr>
            <w:tcW w:w="1368" w:type="dxa"/>
            <w:vMerge/>
          </w:tcPr>
          <w:p w:rsidR="00FE3457" w:rsidRDefault="00FE3457" w14:paraId="7CB7E4D9" w14:textId="77777777">
            <w:pPr>
              <w:keepNext/>
              <w:widowControl w:val="false"/>
              <w:spacing w:after="0" w:line="240" w:lineRule="auto"/>
              <w:rPr>
                <w:b/>
              </w:rPr>
            </w:pPr>
          </w:p>
        </w:tc>
        <w:tc>
          <w:tcPr>
            <w:tcW w:w="1368" w:type="dxa"/>
          </w:tcPr>
          <w:p w:rsidR="00FE3457" w:rsidRDefault="005268B9" w14:paraId="4136257D" w14:textId="77777777">
            <w:pPr>
              <w:keepNext/>
              <w:spacing w:after="0" w:line="240" w:lineRule="auto"/>
              <w:jc w:val="center"/>
              <w:rPr>
                <w:b/>
              </w:rPr>
            </w:pPr>
            <w:r>
              <w:rPr>
                <w:b/>
              </w:rPr>
              <w:t>Alaskan Native or American Indian</w:t>
            </w:r>
          </w:p>
        </w:tc>
        <w:tc>
          <w:tcPr>
            <w:tcW w:w="1368" w:type="dxa"/>
          </w:tcPr>
          <w:p w:rsidR="00FE3457" w:rsidRDefault="005268B9" w14:paraId="7F281ED8" w14:textId="77777777">
            <w:pPr>
              <w:keepNext/>
              <w:widowControl w:val="false"/>
              <w:spacing w:after="0" w:line="240" w:lineRule="auto"/>
              <w:jc w:val="center"/>
              <w:rPr>
                <w:b/>
              </w:rPr>
            </w:pPr>
            <w:r>
              <w:rPr>
                <w:b/>
              </w:rPr>
              <w:t>Asian or Pacific Islander</w:t>
            </w:r>
          </w:p>
        </w:tc>
        <w:tc>
          <w:tcPr>
            <w:tcW w:w="1368" w:type="dxa"/>
          </w:tcPr>
          <w:p w:rsidR="00FE3457" w:rsidRDefault="005268B9" w14:paraId="09BA1A8B" w14:textId="77777777">
            <w:pPr>
              <w:keepNext/>
              <w:widowControl w:val="false"/>
              <w:spacing w:after="0" w:line="240" w:lineRule="auto"/>
              <w:jc w:val="center"/>
              <w:rPr>
                <w:b/>
              </w:rPr>
            </w:pPr>
            <w:r>
              <w:rPr>
                <w:b/>
              </w:rPr>
              <w:t>Black Non-Hispanic</w:t>
            </w:r>
          </w:p>
        </w:tc>
        <w:tc>
          <w:tcPr>
            <w:tcW w:w="1368" w:type="dxa"/>
          </w:tcPr>
          <w:p w:rsidR="00FE3457" w:rsidRDefault="005268B9" w14:paraId="7F051D54" w14:textId="77777777">
            <w:pPr>
              <w:keepNext/>
              <w:widowControl w:val="false"/>
              <w:spacing w:after="0" w:line="240" w:lineRule="auto"/>
              <w:jc w:val="center"/>
              <w:rPr>
                <w:b/>
              </w:rPr>
            </w:pPr>
            <w:r>
              <w:rPr>
                <w:b/>
              </w:rPr>
              <w:t>Hispanic</w:t>
            </w:r>
          </w:p>
        </w:tc>
        <w:tc>
          <w:tcPr>
            <w:tcW w:w="1368" w:type="dxa"/>
            <w:vMerge/>
          </w:tcPr>
          <w:p w:rsidR="00FE3457" w:rsidRDefault="00FE3457" w14:paraId="7E62752A" w14:textId="77777777">
            <w:pPr>
              <w:keepNext/>
              <w:widowControl w:val="false"/>
              <w:spacing w:after="0" w:line="240" w:lineRule="auto"/>
              <w:jc w:val="center"/>
              <w:rPr>
                <w:b/>
              </w:rPr>
            </w:pPr>
          </w:p>
        </w:tc>
      </w:tr>
    </w:tbl>
    <w:p w:rsidR="00FE3457" w:rsidRDefault="00FE3457" w14:paraId="5822CD19" w14:textId="77777777">
      <w:pPr>
        <w:keepNext/>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35"/>
        <w:gridCol w:w="1335"/>
        <w:gridCol w:w="1336"/>
        <w:gridCol w:w="1336"/>
        <w:gridCol w:w="1336"/>
        <w:gridCol w:w="1336"/>
        <w:gridCol w:w="1336"/>
      </w:tblGrid>
      <w:tr w:rsidR="00FE3457" w14:paraId="0AA57AAF" w14:textId="77777777">
        <w:trPr>
          <w:cantSplit/>
        </w:trPr>
        <w:tc>
          <w:tcPr>
            <w:tcW w:w="9576" w:type="dxa"/>
            <w:gridSpan w:val="7"/>
          </w:tcPr>
          <w:p w:rsidR="00FE3457" w:rsidRDefault="005268B9" w14:paraId="171AEA35" w14:textId="77777777">
            <w:pPr>
              <w:keepNext/>
              <w:widowControl w:val="false"/>
              <w:spacing w:after="0" w:line="240" w:lineRule="auto"/>
              <w:rPr>
                <w:b/>
              </w:rPr>
            </w:pPr>
            <w:r>
              <w:rPr>
                <w:b/>
              </w:rPr>
              <w:t>Contracts</w:t>
            </w:r>
          </w:p>
        </w:tc>
      </w:tr>
      <w:tr w:rsidR="00FE3457" w14:paraId="6D47760A" w14:textId="77777777">
        <w:trPr>
          <w:cantSplit/>
          <w:hidden/>
        </w:trPr>
        <w:tc>
          <w:tcPr>
            <w:tcW w:w="1368" w:type="dxa"/>
          </w:tcPr>
          <w:p w:rsidR="00FE3457" w:rsidRDefault="00FE3457" w14:paraId="46541FEE" w14:textId="77777777">
            <w:pPr>
              <w:keepNext/>
              <w:widowControl w:val="false"/>
              <w:spacing w:after="0" w:line="240" w:lineRule="auto"/>
              <w:rPr>
                <w:b/>
                <w:vanish/>
              </w:rPr>
            </w:pPr>
          </w:p>
        </w:tc>
        <w:tc>
          <w:tcPr>
            <w:tcW w:w="1368" w:type="dxa"/>
          </w:tcPr>
          <w:p w:rsidR="00FE3457" w:rsidRDefault="00FE3457" w14:paraId="3D0A7634" w14:textId="77777777">
            <w:pPr>
              <w:keepNext/>
              <w:widowControl w:val="false"/>
              <w:spacing w:after="0" w:line="240" w:lineRule="auto"/>
              <w:rPr>
                <w:b/>
                <w:vanish/>
              </w:rPr>
            </w:pPr>
          </w:p>
        </w:tc>
        <w:tc>
          <w:tcPr>
            <w:tcW w:w="1368" w:type="dxa"/>
          </w:tcPr>
          <w:p w:rsidR="00FE3457" w:rsidRDefault="00FE3457" w14:paraId="480AAAE3" w14:textId="77777777">
            <w:pPr>
              <w:keepNext/>
              <w:widowControl w:val="false"/>
              <w:spacing w:after="0" w:line="240" w:lineRule="auto"/>
              <w:rPr>
                <w:b/>
                <w:vanish/>
              </w:rPr>
            </w:pPr>
          </w:p>
        </w:tc>
        <w:tc>
          <w:tcPr>
            <w:tcW w:w="1368" w:type="dxa"/>
          </w:tcPr>
          <w:p w:rsidR="00FE3457" w:rsidRDefault="00FE3457" w14:paraId="615D263B" w14:textId="77777777">
            <w:pPr>
              <w:keepNext/>
              <w:widowControl w:val="false"/>
              <w:spacing w:after="0" w:line="240" w:lineRule="auto"/>
              <w:rPr>
                <w:b/>
                <w:vanish/>
              </w:rPr>
            </w:pPr>
          </w:p>
        </w:tc>
        <w:tc>
          <w:tcPr>
            <w:tcW w:w="1368" w:type="dxa"/>
          </w:tcPr>
          <w:p w:rsidR="00FE3457" w:rsidRDefault="00FE3457" w14:paraId="5FE46C25" w14:textId="77777777">
            <w:pPr>
              <w:keepNext/>
              <w:widowControl w:val="false"/>
              <w:spacing w:after="0" w:line="240" w:lineRule="auto"/>
              <w:rPr>
                <w:b/>
                <w:vanish/>
              </w:rPr>
            </w:pPr>
          </w:p>
        </w:tc>
        <w:tc>
          <w:tcPr>
            <w:tcW w:w="1368" w:type="dxa"/>
          </w:tcPr>
          <w:p w:rsidR="00FE3457" w:rsidRDefault="00FE3457" w14:paraId="662E2991" w14:textId="77777777">
            <w:pPr>
              <w:keepNext/>
              <w:widowControl w:val="false"/>
              <w:spacing w:after="0" w:line="240" w:lineRule="auto"/>
              <w:rPr>
                <w:b/>
                <w:vanish/>
              </w:rPr>
            </w:pPr>
          </w:p>
        </w:tc>
        <w:tc>
          <w:tcPr>
            <w:tcW w:w="1368" w:type="dxa"/>
          </w:tcPr>
          <w:p w:rsidR="00FE3457" w:rsidRDefault="00FE3457" w14:paraId="6F6DCEE7" w14:textId="77777777">
            <w:pPr>
              <w:keepNext/>
              <w:widowControl w:val="false"/>
              <w:spacing w:after="0" w:line="240" w:lineRule="auto"/>
              <w:rPr>
                <w:b/>
                <w:vanish/>
              </w:rPr>
            </w:pPr>
          </w:p>
        </w:tc>
      </w:tr>
      <w:tr>
        <w:trPr>
          <w:cantSplit w:val="true"/>
        </w:trPr>
        <w:tc>
          <w:tcPr>
            <w:vAlign w:val="top"/>
          </w:tcPr>
          <w:p>
            <w:pPr>
              <w:spacing w:beforeAutospacing="true" w:afterAutospacing="true"/>
              <w:jc w:val="left"/>
            </w:pPr>
            <w:r>
              <w:rPr>
                <w:rFonts w:ascii="Calibri" w:hAnsi="Calibri"/>
                <w:color w:val="000000"/>
                <w:sz w:val="22"/>
              </w:rPr>
              <w:t xml:space="preserve">Dollar Amount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rsidR="00FE3457" w:rsidRDefault="00FE3457" w14:paraId="38775929" w14:textId="77777777">
      <w:pPr>
        <w:keepNext/>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35"/>
        <w:gridCol w:w="1335"/>
        <w:gridCol w:w="1336"/>
        <w:gridCol w:w="1336"/>
        <w:gridCol w:w="1336"/>
        <w:gridCol w:w="1336"/>
        <w:gridCol w:w="1336"/>
      </w:tblGrid>
      <w:tr w:rsidR="00FE3457" w14:paraId="03C1CC40" w14:textId="77777777">
        <w:trPr>
          <w:cantSplit/>
        </w:trPr>
        <w:tc>
          <w:tcPr>
            <w:tcW w:w="9576" w:type="dxa"/>
            <w:gridSpan w:val="7"/>
          </w:tcPr>
          <w:p w:rsidR="00FE3457" w:rsidRDefault="005268B9" w14:paraId="42C02FCD" w14:textId="77777777">
            <w:pPr>
              <w:keepNext/>
              <w:widowControl w:val="false"/>
              <w:spacing w:after="0" w:line="240" w:lineRule="auto"/>
              <w:rPr>
                <w:b/>
              </w:rPr>
            </w:pPr>
            <w:r>
              <w:rPr>
                <w:b/>
              </w:rPr>
              <w:t>Sub-Contracts</w:t>
            </w:r>
          </w:p>
        </w:tc>
      </w:tr>
      <w:tr w:rsidR="00FE3457" w14:paraId="0E0ED9E8" w14:textId="77777777">
        <w:trPr>
          <w:cantSplit/>
          <w:hidden/>
        </w:trPr>
        <w:tc>
          <w:tcPr>
            <w:tcW w:w="1368" w:type="dxa"/>
          </w:tcPr>
          <w:p w:rsidR="00FE3457" w:rsidRDefault="00FE3457" w14:paraId="5A4345F3" w14:textId="77777777">
            <w:pPr>
              <w:keepNext/>
              <w:widowControl w:val="false"/>
              <w:spacing w:after="0" w:line="240" w:lineRule="auto"/>
              <w:rPr>
                <w:b/>
                <w:vanish/>
              </w:rPr>
            </w:pPr>
          </w:p>
        </w:tc>
        <w:tc>
          <w:tcPr>
            <w:tcW w:w="1368" w:type="dxa"/>
          </w:tcPr>
          <w:p w:rsidR="00FE3457" w:rsidRDefault="00FE3457" w14:paraId="472CC082" w14:textId="77777777">
            <w:pPr>
              <w:keepNext/>
              <w:widowControl w:val="false"/>
              <w:spacing w:after="0" w:line="240" w:lineRule="auto"/>
              <w:rPr>
                <w:b/>
                <w:vanish/>
              </w:rPr>
            </w:pPr>
          </w:p>
        </w:tc>
        <w:tc>
          <w:tcPr>
            <w:tcW w:w="1368" w:type="dxa"/>
          </w:tcPr>
          <w:p w:rsidR="00FE3457" w:rsidRDefault="00FE3457" w14:paraId="3675C73A" w14:textId="77777777">
            <w:pPr>
              <w:keepNext/>
              <w:widowControl w:val="false"/>
              <w:spacing w:after="0" w:line="240" w:lineRule="auto"/>
              <w:rPr>
                <w:b/>
                <w:vanish/>
              </w:rPr>
            </w:pPr>
          </w:p>
        </w:tc>
        <w:tc>
          <w:tcPr>
            <w:tcW w:w="1368" w:type="dxa"/>
          </w:tcPr>
          <w:p w:rsidR="00FE3457" w:rsidRDefault="00FE3457" w14:paraId="7277ECC7" w14:textId="77777777">
            <w:pPr>
              <w:keepNext/>
              <w:widowControl w:val="false"/>
              <w:spacing w:after="0" w:line="240" w:lineRule="auto"/>
              <w:rPr>
                <w:b/>
                <w:vanish/>
              </w:rPr>
            </w:pPr>
          </w:p>
        </w:tc>
        <w:tc>
          <w:tcPr>
            <w:tcW w:w="1368" w:type="dxa"/>
          </w:tcPr>
          <w:p w:rsidR="00FE3457" w:rsidRDefault="00FE3457" w14:paraId="71AE6454" w14:textId="77777777">
            <w:pPr>
              <w:keepNext/>
              <w:widowControl w:val="false"/>
              <w:spacing w:after="0" w:line="240" w:lineRule="auto"/>
              <w:rPr>
                <w:b/>
                <w:vanish/>
              </w:rPr>
            </w:pPr>
          </w:p>
        </w:tc>
        <w:tc>
          <w:tcPr>
            <w:tcW w:w="1368" w:type="dxa"/>
          </w:tcPr>
          <w:p w:rsidR="00FE3457" w:rsidRDefault="00FE3457" w14:paraId="43136B93" w14:textId="77777777">
            <w:pPr>
              <w:keepNext/>
              <w:widowControl w:val="false"/>
              <w:spacing w:after="0" w:line="240" w:lineRule="auto"/>
              <w:rPr>
                <w:b/>
                <w:vanish/>
              </w:rPr>
            </w:pPr>
          </w:p>
        </w:tc>
        <w:tc>
          <w:tcPr>
            <w:tcW w:w="1368" w:type="dxa"/>
          </w:tcPr>
          <w:p w:rsidR="00FE3457" w:rsidRDefault="00FE3457" w14:paraId="2135056F" w14:textId="77777777">
            <w:pPr>
              <w:keepNext/>
              <w:widowControl w:val="false"/>
              <w:spacing w:after="0" w:line="240" w:lineRule="auto"/>
              <w:rPr>
                <w:b/>
                <w:vanish/>
              </w:rPr>
            </w:pP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Dollar Amount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rsidR="00FE3457" w:rsidRDefault="00FE3457" w14:paraId="1A64B853" w14:textId="77777777">
      <w:pPr>
        <w:widowControl w:val="false"/>
        <w:spacing w:after="0" w:line="240" w:lineRule="auto"/>
        <w:rPr>
          <w:b/>
          <w:vanish/>
          <w:sz w:val="24"/>
          <w:szCs w:val="24"/>
        </w:rPr>
      </w:pPr>
    </w:p>
    <w:tbl>
      <w:tblPr>
        <w:tblW w:w="286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37"/>
        <w:gridCol w:w="1337"/>
        <w:gridCol w:w="1337"/>
        <w:gridCol w:w="1337"/>
      </w:tblGrid>
      <w:tr w:rsidR="00FE3457" w14:paraId="68673410" w14:textId="77777777">
        <w:trPr>
          <w:cantSplit/>
        </w:trPr>
        <w:tc>
          <w:tcPr>
            <w:tcW w:w="1394" w:type="dxa"/>
          </w:tcPr>
          <w:p w:rsidR="00FE3457" w:rsidRDefault="00FE3457" w14:paraId="670EA63D" w14:textId="77777777">
            <w:pPr>
              <w:keepNext/>
              <w:widowControl w:val="false"/>
              <w:spacing w:after="0" w:line="240" w:lineRule="auto"/>
              <w:rPr>
                <w:b/>
              </w:rPr>
            </w:pPr>
          </w:p>
        </w:tc>
        <w:tc>
          <w:tcPr>
            <w:tcW w:w="1393" w:type="dxa"/>
          </w:tcPr>
          <w:p w:rsidR="00FE3457" w:rsidRDefault="005268B9" w14:paraId="3F407EA6" w14:textId="77777777">
            <w:pPr>
              <w:keepNext/>
              <w:widowControl w:val="false"/>
              <w:spacing w:after="0" w:line="240" w:lineRule="auto"/>
              <w:jc w:val="center"/>
              <w:rPr>
                <w:b/>
              </w:rPr>
            </w:pPr>
            <w:r>
              <w:rPr>
                <w:b/>
              </w:rPr>
              <w:t>Total</w:t>
            </w:r>
          </w:p>
        </w:tc>
        <w:tc>
          <w:tcPr>
            <w:tcW w:w="1393" w:type="dxa"/>
          </w:tcPr>
          <w:p w:rsidR="00FE3457" w:rsidRDefault="005268B9" w14:paraId="21CBB79C" w14:textId="77777777">
            <w:pPr>
              <w:keepNext/>
              <w:widowControl w:val="false"/>
              <w:spacing w:after="0" w:line="240" w:lineRule="auto"/>
              <w:jc w:val="center"/>
              <w:rPr>
                <w:b/>
                <w:szCs w:val="24"/>
              </w:rPr>
            </w:pPr>
            <w:r>
              <w:rPr>
                <w:b/>
              </w:rPr>
              <w:t>Women Business Enterprises</w:t>
            </w:r>
          </w:p>
        </w:tc>
        <w:tc>
          <w:tcPr>
            <w:tcW w:w="1393" w:type="dxa"/>
          </w:tcPr>
          <w:p w:rsidR="00FE3457" w:rsidRDefault="005268B9" w14:paraId="05CA2942" w14:textId="77777777">
            <w:pPr>
              <w:keepNext/>
              <w:widowControl w:val="false"/>
              <w:spacing w:after="0" w:line="240" w:lineRule="auto"/>
              <w:jc w:val="center"/>
              <w:rPr>
                <w:b/>
                <w:szCs w:val="24"/>
              </w:rPr>
            </w:pPr>
            <w:r>
              <w:rPr>
                <w:b/>
              </w:rPr>
              <w:t>Male</w:t>
            </w:r>
          </w:p>
        </w:tc>
      </w:tr>
    </w:tbl>
    <w:p w:rsidR="00FE3457" w:rsidRDefault="00FE3457" w14:paraId="22C5B2D8" w14:textId="77777777">
      <w:pPr>
        <w:keepNext/>
        <w:widowControl w:val="false"/>
        <w:spacing w:after="0" w:line="240" w:lineRule="auto"/>
        <w:rPr>
          <w:b/>
          <w:vanish/>
          <w:sz w:val="24"/>
          <w:szCs w:val="24"/>
        </w:rPr>
      </w:pPr>
    </w:p>
    <w:tbl>
      <w:tblPr>
        <w:tblW w:w="286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58"/>
        <w:gridCol w:w="1330"/>
        <w:gridCol w:w="1330"/>
        <w:gridCol w:w="1330"/>
      </w:tblGrid>
      <w:tr w:rsidR="00FE3457" w14:paraId="34883570" w14:textId="77777777">
        <w:trPr>
          <w:cantSplit/>
        </w:trPr>
        <w:tc>
          <w:tcPr>
            <w:tcW w:w="5485" w:type="dxa"/>
            <w:gridSpan w:val="4"/>
          </w:tcPr>
          <w:p w:rsidR="00FE3457" w:rsidRDefault="005268B9" w14:paraId="08D5EE65" w14:textId="77777777">
            <w:pPr>
              <w:keepNext/>
              <w:widowControl w:val="false"/>
              <w:spacing w:after="0" w:line="240" w:lineRule="auto"/>
              <w:rPr>
                <w:b/>
              </w:rPr>
            </w:pPr>
            <w:r>
              <w:rPr>
                <w:b/>
              </w:rPr>
              <w:t>Contracts</w:t>
            </w:r>
          </w:p>
        </w:tc>
      </w:tr>
      <w:tr w:rsidR="00FE3457" w14:paraId="7829CC3B" w14:textId="77777777">
        <w:trPr>
          <w:cantSplit/>
          <w:hidden/>
        </w:trPr>
        <w:tc>
          <w:tcPr>
            <w:tcW w:w="1393" w:type="dxa"/>
          </w:tcPr>
          <w:p w:rsidR="00FE3457" w:rsidRDefault="00FE3457" w14:paraId="1E0D2375" w14:textId="77777777">
            <w:pPr>
              <w:keepNext/>
              <w:widowControl w:val="false"/>
              <w:spacing w:after="0" w:line="240" w:lineRule="auto"/>
              <w:rPr>
                <w:b/>
                <w:vanish/>
              </w:rPr>
            </w:pPr>
          </w:p>
        </w:tc>
        <w:tc>
          <w:tcPr>
            <w:tcW w:w="1364" w:type="dxa"/>
          </w:tcPr>
          <w:p w:rsidR="00FE3457" w:rsidRDefault="00FE3457" w14:paraId="16BD86AF" w14:textId="77777777">
            <w:pPr>
              <w:keepNext/>
              <w:widowControl w:val="false"/>
              <w:spacing w:after="0" w:line="240" w:lineRule="auto"/>
              <w:rPr>
                <w:b/>
                <w:vanish/>
              </w:rPr>
            </w:pPr>
          </w:p>
        </w:tc>
        <w:tc>
          <w:tcPr>
            <w:tcW w:w="1364" w:type="dxa"/>
          </w:tcPr>
          <w:p w:rsidR="00FE3457" w:rsidRDefault="00FE3457" w14:paraId="692CE51E" w14:textId="77777777">
            <w:pPr>
              <w:keepNext/>
              <w:widowControl w:val="false"/>
              <w:spacing w:after="0" w:line="240" w:lineRule="auto"/>
              <w:rPr>
                <w:b/>
                <w:vanish/>
              </w:rPr>
            </w:pPr>
          </w:p>
        </w:tc>
        <w:tc>
          <w:tcPr>
            <w:tcW w:w="1364" w:type="dxa"/>
          </w:tcPr>
          <w:p w:rsidR="00FE3457" w:rsidRDefault="00FE3457" w14:paraId="45C3DCF2" w14:textId="77777777">
            <w:pPr>
              <w:keepNext/>
              <w:widowControl w:val="false"/>
              <w:spacing w:after="0" w:line="240" w:lineRule="auto"/>
              <w:rPr>
                <w:b/>
                <w:vanish/>
              </w:rPr>
            </w:pPr>
          </w:p>
        </w:tc>
      </w:tr>
      <w:tr>
        <w:trPr>
          <w:cantSplit w:val="true"/>
        </w:trPr>
        <w:tc>
          <w:tcPr>
            <w:vAlign w:val="top"/>
          </w:tcPr>
          <w:p>
            <w:pPr>
              <w:spacing w:beforeAutospacing="true" w:afterAutospacing="true"/>
              <w:jc w:val="left"/>
            </w:pPr>
            <w:r>
              <w:rPr>
                <w:rFonts w:ascii="Calibri" w:hAnsi="Calibri"/>
                <w:color w:val="000000"/>
                <w:sz w:val="22"/>
              </w:rPr>
              <w:t xml:space="preserve">Dollar Amount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rsidR="00FE3457" w:rsidRDefault="00FE3457" w14:paraId="3621239F" w14:textId="77777777">
      <w:pPr>
        <w:widowControl w:val="false"/>
        <w:spacing w:after="0" w:line="240" w:lineRule="auto"/>
        <w:rPr>
          <w:b/>
          <w:vanish/>
          <w:sz w:val="24"/>
          <w:szCs w:val="24"/>
        </w:rPr>
      </w:pPr>
    </w:p>
    <w:tbl>
      <w:tblPr>
        <w:tblW w:w="286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58"/>
        <w:gridCol w:w="1330"/>
        <w:gridCol w:w="1330"/>
        <w:gridCol w:w="1330"/>
      </w:tblGrid>
      <w:tr w:rsidR="00FE3457" w14:paraId="7D757CC3" w14:textId="77777777">
        <w:trPr>
          <w:cantSplit/>
        </w:trPr>
        <w:tc>
          <w:tcPr>
            <w:tcW w:w="5485" w:type="dxa"/>
            <w:gridSpan w:val="4"/>
          </w:tcPr>
          <w:p w:rsidR="00FE3457" w:rsidRDefault="005268B9" w14:paraId="5D072CEB" w14:textId="77777777">
            <w:pPr>
              <w:keepNext/>
              <w:widowControl w:val="false"/>
              <w:spacing w:after="0" w:line="240" w:lineRule="auto"/>
              <w:rPr>
                <w:b/>
              </w:rPr>
            </w:pPr>
            <w:r>
              <w:rPr>
                <w:b/>
              </w:rPr>
              <w:t>Sub-Contracts</w:t>
            </w:r>
          </w:p>
        </w:tc>
      </w:tr>
      <w:tr w:rsidR="00FE3457" w14:paraId="1FD5FA50" w14:textId="77777777">
        <w:trPr>
          <w:cantSplit/>
          <w:hidden/>
        </w:trPr>
        <w:tc>
          <w:tcPr>
            <w:tcW w:w="1393" w:type="dxa"/>
          </w:tcPr>
          <w:p w:rsidR="00FE3457" w:rsidRDefault="00FE3457" w14:paraId="217B0238" w14:textId="77777777">
            <w:pPr>
              <w:keepNext/>
              <w:widowControl w:val="false"/>
              <w:spacing w:after="0" w:line="240" w:lineRule="auto"/>
              <w:rPr>
                <w:b/>
                <w:vanish/>
              </w:rPr>
            </w:pPr>
          </w:p>
        </w:tc>
        <w:tc>
          <w:tcPr>
            <w:tcW w:w="1364" w:type="dxa"/>
          </w:tcPr>
          <w:p w:rsidR="00FE3457" w:rsidRDefault="00FE3457" w14:paraId="202FEFD9" w14:textId="77777777">
            <w:pPr>
              <w:keepNext/>
              <w:widowControl w:val="false"/>
              <w:spacing w:after="0" w:line="240" w:lineRule="auto"/>
              <w:rPr>
                <w:b/>
                <w:vanish/>
              </w:rPr>
            </w:pPr>
          </w:p>
        </w:tc>
        <w:tc>
          <w:tcPr>
            <w:tcW w:w="1364" w:type="dxa"/>
          </w:tcPr>
          <w:p w:rsidR="00FE3457" w:rsidRDefault="00FE3457" w14:paraId="05F814D9" w14:textId="77777777">
            <w:pPr>
              <w:keepNext/>
              <w:widowControl w:val="false"/>
              <w:spacing w:after="0" w:line="240" w:lineRule="auto"/>
              <w:rPr>
                <w:b/>
                <w:vanish/>
              </w:rPr>
            </w:pPr>
          </w:p>
        </w:tc>
        <w:tc>
          <w:tcPr>
            <w:tcW w:w="1364" w:type="dxa"/>
          </w:tcPr>
          <w:p w:rsidR="00FE3457" w:rsidRDefault="00FE3457" w14:paraId="69596ACF" w14:textId="77777777">
            <w:pPr>
              <w:keepNext/>
              <w:widowControl w:val="false"/>
              <w:spacing w:after="0" w:line="240" w:lineRule="auto"/>
              <w:rPr>
                <w:b/>
                <w:vanish/>
              </w:rPr>
            </w:pP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Dollar Amount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rsidR="00FE3457" w:rsidRDefault="005268B9" w14:paraId="5ABD5E6A" w14:textId="77777777">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8</w:t>
      </w:r>
      <w:r>
        <w:rPr>
          <w:rFonts w:asciiTheme="minorHAnsi" w:hAnsiTheme="minorHAnsi"/>
        </w:rPr>
        <w:fldChar w:fldCharType="end"/>
      </w:r>
      <w:r>
        <w:rPr>
          <w:rFonts w:asciiTheme="minorHAnsi" w:hAnsiTheme="minorHAnsi"/>
        </w:rPr>
        <w:t xml:space="preserve"> - Minority Business and Women Business Enterprises</w:t>
      </w:r>
    </w:p>
    <w:p w:rsidR="00FE3457" w:rsidRDefault="00FE3457" w14:paraId="69BCABCD" w14:textId="77777777">
      <w:pPr>
        <w:widowControl w:val="false"/>
        <w:spacing w:after="0" w:line="240" w:lineRule="auto"/>
        <w:rPr>
          <w:b/>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9350"/>
      </w:tblGrid>
      <w:tr w:rsidR="00FE3457" w14:paraId="5D08D965" w14:textId="77777777">
        <w:tc>
          <w:tcPr>
            <w:tcW w:w="9576" w:type="dxa"/>
          </w:tcPr>
          <w:p w:rsidR="00FE3457" w:rsidRDefault="005268B9" w14:paraId="4F9FBFEE" w14:textId="77777777">
            <w:pPr>
              <w:keepNext/>
              <w:widowControl w:val="false"/>
              <w:spacing w:after="0" w:line="240" w:lineRule="auto"/>
              <w:rPr>
                <w:b/>
                <w:szCs w:val="24"/>
              </w:rPr>
            </w:pPr>
            <w:r>
              <w:rPr>
                <w:b/>
              </w:rPr>
              <w:t xml:space="preserve">Minority Owners of Rental Property </w:t>
            </w:r>
            <w:r>
              <w:t>– Indicate the number of HOME assisted rental property owners and the total amount of HOME funds in these rental properties assisted</w:t>
            </w:r>
          </w:p>
        </w:tc>
      </w:tr>
    </w:tbl>
    <w:p w:rsidR="00FE3457" w:rsidRDefault="00FE3457" w14:paraId="2D28C23C" w14:textId="77777777">
      <w:pPr>
        <w:keepNext/>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374"/>
        <w:gridCol w:w="793"/>
        <w:gridCol w:w="1486"/>
        <w:gridCol w:w="1398"/>
        <w:gridCol w:w="1433"/>
        <w:gridCol w:w="1433"/>
        <w:gridCol w:w="1433"/>
      </w:tblGrid>
      <w:tr w:rsidR="00FE3457" w14:paraId="74F7A57E" w14:textId="77777777">
        <w:tc>
          <w:tcPr>
            <w:tcW w:w="1408" w:type="dxa"/>
            <w:vMerge w:val="restart"/>
          </w:tcPr>
          <w:p w:rsidR="00FE3457" w:rsidRDefault="00FE3457" w14:paraId="0F7357C3" w14:textId="77777777">
            <w:pPr>
              <w:keepNext/>
              <w:widowControl w:val="false"/>
              <w:spacing w:after="0" w:line="240" w:lineRule="auto"/>
              <w:jc w:val="center"/>
              <w:rPr>
                <w:b/>
              </w:rPr>
            </w:pPr>
          </w:p>
        </w:tc>
        <w:tc>
          <w:tcPr>
            <w:tcW w:w="809" w:type="dxa"/>
            <w:vMerge w:val="restart"/>
          </w:tcPr>
          <w:p w:rsidR="00FE3457" w:rsidRDefault="005268B9" w14:paraId="0AE5DEB7" w14:textId="77777777">
            <w:pPr>
              <w:keepNext/>
              <w:widowControl w:val="false"/>
              <w:spacing w:after="0" w:line="240" w:lineRule="auto"/>
              <w:jc w:val="center"/>
              <w:rPr>
                <w:b/>
              </w:rPr>
            </w:pPr>
            <w:r>
              <w:rPr>
                <w:b/>
              </w:rPr>
              <w:t>Total</w:t>
            </w:r>
          </w:p>
        </w:tc>
        <w:tc>
          <w:tcPr>
            <w:tcW w:w="5891" w:type="dxa"/>
            <w:gridSpan w:val="4"/>
          </w:tcPr>
          <w:p w:rsidR="00FE3457" w:rsidRDefault="005268B9" w14:paraId="42ED651D" w14:textId="77777777">
            <w:pPr>
              <w:keepNext/>
              <w:widowControl w:val="false"/>
              <w:spacing w:after="0" w:line="240" w:lineRule="auto"/>
              <w:jc w:val="center"/>
              <w:rPr>
                <w:b/>
              </w:rPr>
            </w:pPr>
            <w:r>
              <w:rPr>
                <w:b/>
              </w:rPr>
              <w:t>Minority Property Owners</w:t>
            </w:r>
          </w:p>
        </w:tc>
        <w:tc>
          <w:tcPr>
            <w:tcW w:w="1468" w:type="dxa"/>
            <w:vMerge w:val="restart"/>
          </w:tcPr>
          <w:p w:rsidR="00FE3457" w:rsidRDefault="005268B9" w14:paraId="639CD762" w14:textId="77777777">
            <w:pPr>
              <w:keepNext/>
              <w:widowControl w:val="false"/>
              <w:spacing w:after="0" w:line="240" w:lineRule="auto"/>
              <w:jc w:val="center"/>
              <w:rPr>
                <w:b/>
              </w:rPr>
            </w:pPr>
            <w:r>
              <w:rPr>
                <w:b/>
              </w:rPr>
              <w:t>White Non-Hispanic</w:t>
            </w:r>
          </w:p>
        </w:tc>
      </w:tr>
      <w:tr w:rsidR="00FE3457" w14:paraId="709EDDAE" w14:textId="77777777">
        <w:tc>
          <w:tcPr>
            <w:tcW w:w="1408" w:type="dxa"/>
            <w:vMerge/>
          </w:tcPr>
          <w:p w:rsidR="00FE3457" w:rsidRDefault="00FE3457" w14:paraId="0C23292F" w14:textId="77777777">
            <w:pPr>
              <w:keepNext/>
              <w:widowControl w:val="false"/>
              <w:spacing w:after="0" w:line="240" w:lineRule="auto"/>
              <w:jc w:val="center"/>
              <w:rPr>
                <w:b/>
              </w:rPr>
            </w:pPr>
          </w:p>
        </w:tc>
        <w:tc>
          <w:tcPr>
            <w:tcW w:w="809" w:type="dxa"/>
            <w:vMerge/>
          </w:tcPr>
          <w:p w:rsidR="00FE3457" w:rsidRDefault="00FE3457" w14:paraId="1A2222D7" w14:textId="77777777">
            <w:pPr>
              <w:keepNext/>
              <w:widowControl w:val="false"/>
              <w:spacing w:after="0" w:line="240" w:lineRule="auto"/>
              <w:jc w:val="center"/>
              <w:rPr>
                <w:b/>
              </w:rPr>
            </w:pPr>
          </w:p>
        </w:tc>
        <w:tc>
          <w:tcPr>
            <w:tcW w:w="1523" w:type="dxa"/>
          </w:tcPr>
          <w:p w:rsidR="00FE3457" w:rsidRDefault="005268B9" w14:paraId="247DFD00" w14:textId="77777777">
            <w:pPr>
              <w:keepNext/>
              <w:widowControl w:val="false"/>
              <w:jc w:val="center"/>
              <w:rPr>
                <w:b/>
              </w:rPr>
            </w:pPr>
            <w:r>
              <w:rPr>
                <w:b/>
              </w:rPr>
              <w:t>Alaskan Native or American Indian</w:t>
            </w:r>
          </w:p>
        </w:tc>
        <w:tc>
          <w:tcPr>
            <w:tcW w:w="1432" w:type="dxa"/>
          </w:tcPr>
          <w:p w:rsidR="00FE3457" w:rsidRDefault="005268B9" w14:paraId="5E714ACF" w14:textId="77777777">
            <w:pPr>
              <w:keepNext/>
              <w:widowControl w:val="false"/>
              <w:ind w:right="-28"/>
              <w:jc w:val="center"/>
              <w:rPr>
                <w:b/>
              </w:rPr>
            </w:pPr>
            <w:r>
              <w:rPr>
                <w:b/>
              </w:rPr>
              <w:t>Asian or Pacific Islander</w:t>
            </w:r>
          </w:p>
        </w:tc>
        <w:tc>
          <w:tcPr>
            <w:tcW w:w="1468" w:type="dxa"/>
          </w:tcPr>
          <w:p w:rsidR="00FE3457" w:rsidRDefault="005268B9" w14:paraId="0EE34EF0" w14:textId="77777777">
            <w:pPr>
              <w:keepNext/>
              <w:widowControl w:val="false"/>
              <w:jc w:val="center"/>
              <w:rPr>
                <w:b/>
              </w:rPr>
            </w:pPr>
            <w:r>
              <w:rPr>
                <w:b/>
              </w:rPr>
              <w:t>Black Non-Hispanic</w:t>
            </w:r>
          </w:p>
        </w:tc>
        <w:tc>
          <w:tcPr>
            <w:tcW w:w="1468" w:type="dxa"/>
          </w:tcPr>
          <w:p w:rsidR="00FE3457" w:rsidRDefault="005268B9" w14:paraId="0A70D412" w14:textId="77777777">
            <w:pPr>
              <w:keepNext/>
              <w:widowControl w:val="false"/>
              <w:jc w:val="center"/>
              <w:rPr>
                <w:b/>
              </w:rPr>
            </w:pPr>
            <w:r>
              <w:rPr>
                <w:b/>
              </w:rPr>
              <w:t>Hispanic</w:t>
            </w:r>
          </w:p>
        </w:tc>
        <w:tc>
          <w:tcPr>
            <w:tcW w:w="1468" w:type="dxa"/>
            <w:vMerge/>
          </w:tcPr>
          <w:p w:rsidR="00FE3457" w:rsidRDefault="00FE3457" w14:paraId="72189CBF" w14:textId="77777777">
            <w:pPr>
              <w:keepNext/>
              <w:widowControl w:val="false"/>
              <w:spacing w:after="0" w:line="240" w:lineRule="auto"/>
              <w:jc w:val="center"/>
              <w:rPr>
                <w:b/>
              </w:rPr>
            </w:pP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Dollar Amount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rsidR="00FE3457" w:rsidRDefault="005268B9" w14:paraId="02971CE6"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9</w:t>
      </w:r>
      <w:r>
        <w:rPr>
          <w:rFonts w:asciiTheme="minorHAnsi" w:hAnsiTheme="minorHAnsi"/>
        </w:rPr>
        <w:fldChar w:fldCharType="end"/>
      </w:r>
      <w:r>
        <w:rPr>
          <w:rFonts w:asciiTheme="minorHAnsi" w:hAnsiTheme="minorHAnsi"/>
        </w:rPr>
        <w:t xml:space="preserve"> – Minority Owners of Rental Property</w:t>
      </w:r>
    </w:p>
    <w:p w:rsidR="00FE3457" w:rsidRDefault="00FE3457" w14:paraId="25F15E76" w14:textId="77777777">
      <w:pPr>
        <w:widowControl w:val="false"/>
        <w:spacing w:line="204" w:lineRule="auto"/>
        <w:rPr>
          <w:b/>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9350"/>
      </w:tblGrid>
      <w:tr w:rsidR="00FE3457" w14:paraId="5788B8F9" w14:textId="77777777">
        <w:tc>
          <w:tcPr>
            <w:tcW w:w="13176" w:type="dxa"/>
          </w:tcPr>
          <w:p w:rsidR="00FE3457" w:rsidRDefault="005268B9" w14:paraId="06472312" w14:textId="77777777">
            <w:pPr>
              <w:keepNext/>
              <w:widowControl w:val="false"/>
              <w:spacing w:after="0" w:line="240" w:lineRule="auto"/>
              <w:rPr>
                <w:b/>
              </w:rPr>
            </w:pPr>
            <w:r>
              <w:rPr>
                <w:b/>
              </w:rPr>
              <w:t xml:space="preserve">Relocation and Real Property Acquisition – </w:t>
            </w:r>
            <w:r>
              <w:t>Indicate the number of persons displaced, the cost of relocation payments, the number of parcels acquired, and the cost of acquisition</w:t>
            </w:r>
          </w:p>
        </w:tc>
      </w:tr>
    </w:tbl>
    <w:p w:rsidR="00FE3457" w:rsidRDefault="00FE3457" w14:paraId="4F3E644B" w14:textId="77777777">
      <w:pPr>
        <w:keepNext/>
        <w:widowControl w:val="false"/>
        <w:spacing w:after="0" w:line="240" w:lineRule="auto"/>
        <w:rPr>
          <w:b/>
          <w:vanish/>
          <w:sz w:val="24"/>
          <w:szCs w:val="24"/>
        </w:rPr>
      </w:pPr>
    </w:p>
    <w:tbl>
      <w:tblPr>
        <w:tblW w:w="3423"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3081"/>
        <w:gridCol w:w="1660"/>
        <w:gridCol w:w="1660"/>
      </w:tblGrid>
      <w:tr w:rsidR="00FE3457" w14:paraId="6EA4F877" w14:textId="77777777">
        <w:trPr>
          <w:cantSplit/>
          <w:hidden/>
        </w:trPr>
        <w:tc>
          <w:tcPr>
            <w:tcW w:w="4392" w:type="dxa"/>
          </w:tcPr>
          <w:p w:rsidR="00FE3457" w:rsidRDefault="00FE3457" w14:paraId="69C5AB75" w14:textId="77777777">
            <w:pPr>
              <w:keepNext/>
              <w:widowControl w:val="false"/>
              <w:spacing w:after="0" w:line="240" w:lineRule="auto"/>
              <w:rPr>
                <w:b/>
                <w:vanish/>
              </w:rPr>
            </w:pPr>
          </w:p>
        </w:tc>
        <w:tc>
          <w:tcPr>
            <w:tcW w:w="2314" w:type="dxa"/>
          </w:tcPr>
          <w:p w:rsidR="00FE3457" w:rsidRDefault="005268B9" w14:paraId="6EFB9251" w14:textId="77777777">
            <w:pPr>
              <w:keepNext/>
              <w:widowControl w:val="false"/>
              <w:spacing w:after="0" w:line="240" w:lineRule="auto"/>
              <w:jc w:val="center"/>
              <w:rPr>
                <w:b/>
                <w:vanish/>
              </w:rPr>
            </w:pPr>
            <w:r>
              <w:rPr>
                <w:b/>
                <w:vanish/>
              </w:rPr>
              <w:t>Number</w:t>
            </w:r>
          </w:p>
        </w:tc>
        <w:tc>
          <w:tcPr>
            <w:tcW w:w="2314" w:type="dxa"/>
          </w:tcPr>
          <w:p w:rsidR="00FE3457" w:rsidRDefault="005268B9" w14:paraId="2BC178B7" w14:textId="77777777">
            <w:pPr>
              <w:keepNext/>
              <w:widowControl w:val="false"/>
              <w:spacing w:after="0" w:line="240" w:lineRule="auto"/>
              <w:jc w:val="center"/>
              <w:rPr>
                <w:b/>
                <w:vanish/>
              </w:rPr>
            </w:pPr>
            <w:r>
              <w:rPr>
                <w:b/>
                <w:vanish/>
              </w:rPr>
              <w:t>Cost</w:t>
            </w:r>
          </w:p>
        </w:tc>
      </w:tr>
      <w:tr>
        <w:trPr>
          <w:cantSplit w:val="true"/>
        </w:trPr>
        <w:tc>
          <w:tcPr>
            <w:vAlign w:val="top"/>
          </w:tcPr>
          <w:p>
            <w:pPr>
              <w:spacing w:beforeAutospacing="true" w:afterAutospacing="true"/>
              <w:jc w:val="left"/>
            </w:pPr>
            <w:r>
              <w:rPr>
                <w:rFonts w:ascii="Calibri" w:hAnsi="Calibri"/>
                <w:color w:val="000000"/>
                <w:sz w:val="22"/>
              </w:rPr>
              <w:t xml:space="preserve">Parcels Acquired</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Businesses Displaced</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Nonprofit Organizations Displaced</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Households Temporarily Relocated, not Displaced</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rsidR="00FE3457" w:rsidRDefault="00FE3457" w14:paraId="5A4440EE" w14:textId="77777777">
      <w:pPr>
        <w:widowControl w:val="false"/>
        <w:spacing w:after="0" w:line="240" w:lineRule="auto"/>
        <w:rPr>
          <w:b/>
          <w:vanish/>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1533"/>
        <w:gridCol w:w="784"/>
        <w:gridCol w:w="1459"/>
        <w:gridCol w:w="1366"/>
        <w:gridCol w:w="1403"/>
        <w:gridCol w:w="1402"/>
        <w:gridCol w:w="1403"/>
      </w:tblGrid>
      <w:tr w:rsidR="00FE3457" w14:paraId="2F3A339C" w14:textId="77777777">
        <w:trPr>
          <w:cantSplit/>
        </w:trPr>
        <w:tc>
          <w:tcPr>
            <w:tcW w:w="1572" w:type="dxa"/>
            <w:vMerge w:val="restart"/>
          </w:tcPr>
          <w:p w:rsidR="00FE3457" w:rsidRDefault="005268B9" w14:paraId="27353040" w14:textId="77777777">
            <w:pPr>
              <w:keepNext/>
              <w:widowControl w:val="false"/>
              <w:spacing w:after="0" w:line="240" w:lineRule="auto"/>
              <w:jc w:val="center"/>
              <w:rPr>
                <w:b/>
              </w:rPr>
            </w:pPr>
            <w:r>
              <w:rPr>
                <w:b/>
              </w:rPr>
              <w:t>Households Displaced</w:t>
            </w:r>
          </w:p>
        </w:tc>
        <w:tc>
          <w:tcPr>
            <w:tcW w:w="800" w:type="dxa"/>
            <w:vMerge w:val="restart"/>
          </w:tcPr>
          <w:p w:rsidR="00FE3457" w:rsidRDefault="005268B9" w14:paraId="5AF8EC49" w14:textId="77777777">
            <w:pPr>
              <w:keepNext/>
              <w:widowControl w:val="false"/>
              <w:spacing w:after="0" w:line="240" w:lineRule="auto"/>
              <w:jc w:val="center"/>
              <w:rPr>
                <w:b/>
              </w:rPr>
            </w:pPr>
            <w:r>
              <w:rPr>
                <w:b/>
              </w:rPr>
              <w:t>Total</w:t>
            </w:r>
          </w:p>
        </w:tc>
        <w:tc>
          <w:tcPr>
            <w:tcW w:w="5767" w:type="dxa"/>
            <w:gridSpan w:val="4"/>
          </w:tcPr>
          <w:p w:rsidR="00FE3457" w:rsidRDefault="005268B9" w14:paraId="1F9A41C1" w14:textId="77777777">
            <w:pPr>
              <w:keepNext/>
              <w:widowControl w:val="false"/>
              <w:spacing w:after="0" w:line="240" w:lineRule="auto"/>
              <w:jc w:val="center"/>
              <w:rPr>
                <w:b/>
              </w:rPr>
            </w:pPr>
            <w:r>
              <w:rPr>
                <w:b/>
              </w:rPr>
              <w:t>Minority Property Enterprises</w:t>
            </w:r>
          </w:p>
        </w:tc>
        <w:tc>
          <w:tcPr>
            <w:tcW w:w="1437" w:type="dxa"/>
            <w:vMerge w:val="restart"/>
          </w:tcPr>
          <w:p w:rsidR="00FE3457" w:rsidRDefault="005268B9" w14:paraId="6B8D96AE" w14:textId="77777777">
            <w:pPr>
              <w:keepNext/>
              <w:widowControl w:val="false"/>
              <w:spacing w:after="0" w:line="240" w:lineRule="auto"/>
              <w:jc w:val="center"/>
              <w:rPr>
                <w:b/>
              </w:rPr>
            </w:pPr>
            <w:r>
              <w:rPr>
                <w:b/>
              </w:rPr>
              <w:t>White Non-Hispanic</w:t>
            </w:r>
          </w:p>
        </w:tc>
      </w:tr>
      <w:tr w:rsidR="00FE3457" w14:paraId="730D2DA3" w14:textId="77777777">
        <w:trPr>
          <w:cantSplit/>
        </w:trPr>
        <w:tc>
          <w:tcPr>
            <w:tcW w:w="1572" w:type="dxa"/>
            <w:vMerge/>
          </w:tcPr>
          <w:p w:rsidR="00FE3457" w:rsidRDefault="00FE3457" w14:paraId="71E86D4E" w14:textId="77777777">
            <w:pPr>
              <w:keepNext/>
              <w:widowControl w:val="false"/>
              <w:spacing w:after="0" w:line="240" w:lineRule="auto"/>
              <w:jc w:val="center"/>
              <w:rPr>
                <w:b/>
              </w:rPr>
            </w:pPr>
          </w:p>
        </w:tc>
        <w:tc>
          <w:tcPr>
            <w:tcW w:w="800" w:type="dxa"/>
            <w:vMerge/>
          </w:tcPr>
          <w:p w:rsidR="00FE3457" w:rsidRDefault="00FE3457" w14:paraId="4AF50F37" w14:textId="77777777">
            <w:pPr>
              <w:keepNext/>
              <w:widowControl w:val="false"/>
              <w:spacing w:after="0" w:line="240" w:lineRule="auto"/>
              <w:jc w:val="center"/>
              <w:rPr>
                <w:b/>
              </w:rPr>
            </w:pPr>
          </w:p>
        </w:tc>
        <w:tc>
          <w:tcPr>
            <w:tcW w:w="1495" w:type="dxa"/>
          </w:tcPr>
          <w:p w:rsidR="00FE3457" w:rsidRDefault="005268B9" w14:paraId="36B2AA8B" w14:textId="77777777">
            <w:pPr>
              <w:keepNext/>
              <w:widowControl w:val="false"/>
              <w:jc w:val="center"/>
              <w:rPr>
                <w:b/>
              </w:rPr>
            </w:pPr>
            <w:r>
              <w:rPr>
                <w:b/>
              </w:rPr>
              <w:t>Alaskan Native or American Indian</w:t>
            </w:r>
          </w:p>
        </w:tc>
        <w:tc>
          <w:tcPr>
            <w:tcW w:w="1399" w:type="dxa"/>
          </w:tcPr>
          <w:p w:rsidR="00FE3457" w:rsidRDefault="005268B9" w14:paraId="081E4083" w14:textId="77777777">
            <w:pPr>
              <w:keepNext/>
              <w:widowControl w:val="false"/>
              <w:ind w:right="-28"/>
              <w:jc w:val="center"/>
              <w:rPr>
                <w:b/>
              </w:rPr>
            </w:pPr>
            <w:r>
              <w:rPr>
                <w:b/>
              </w:rPr>
              <w:t>Asian or Pacific Islander</w:t>
            </w:r>
          </w:p>
        </w:tc>
        <w:tc>
          <w:tcPr>
            <w:tcW w:w="1437" w:type="dxa"/>
          </w:tcPr>
          <w:p w:rsidR="00FE3457" w:rsidRDefault="005268B9" w14:paraId="48246844" w14:textId="77777777">
            <w:pPr>
              <w:keepNext/>
              <w:widowControl w:val="false"/>
              <w:jc w:val="center"/>
              <w:rPr>
                <w:b/>
              </w:rPr>
            </w:pPr>
            <w:r>
              <w:rPr>
                <w:b/>
              </w:rPr>
              <w:t>Black Non-Hispanic</w:t>
            </w:r>
          </w:p>
        </w:tc>
        <w:tc>
          <w:tcPr>
            <w:tcW w:w="1436" w:type="dxa"/>
          </w:tcPr>
          <w:p w:rsidR="00FE3457" w:rsidRDefault="005268B9" w14:paraId="355A0B19" w14:textId="77777777">
            <w:pPr>
              <w:keepNext/>
              <w:widowControl w:val="false"/>
              <w:jc w:val="center"/>
              <w:rPr>
                <w:b/>
              </w:rPr>
            </w:pPr>
            <w:r>
              <w:rPr>
                <w:b/>
              </w:rPr>
              <w:t>Hispanic</w:t>
            </w:r>
          </w:p>
        </w:tc>
        <w:tc>
          <w:tcPr>
            <w:tcW w:w="1437" w:type="dxa"/>
            <w:vMerge/>
          </w:tcPr>
          <w:p w:rsidR="00FE3457" w:rsidRDefault="00FE3457" w14:paraId="747CF5AC" w14:textId="77777777">
            <w:pPr>
              <w:keepNext/>
              <w:widowControl w:val="false"/>
              <w:spacing w:after="0" w:line="240" w:lineRule="auto"/>
              <w:jc w:val="center"/>
              <w:rPr>
                <w:b/>
              </w:rPr>
            </w:pPr>
          </w:p>
        </w:tc>
      </w:tr>
      <w:tr>
        <w:trPr>
          <w:cantSplit w:val="true"/>
        </w:trPr>
        <w:tc>
          <w:tcPr>
            <w:vAlign w:val="top"/>
          </w:tcPr>
          <w:p>
            <w:pPr>
              <w:spacing w:beforeAutospacing="true" w:afterAutospacing="true"/>
              <w:jc w:val="left"/>
            </w:pPr>
            <w:r>
              <w:rPr>
                <w:rFonts w:ascii="Calibri" w:hAnsi="Calibri"/>
                <w:color w:val="000000"/>
                <w:sz w:val="22"/>
              </w:rPr>
              <w:t xml:space="preserve">Number</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color w:val="000000"/>
                <w:sz w:val="22"/>
              </w:rPr>
              <w:t xml:space="preserve">Cost</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bl>
    <w:p w:rsidR="00FE3457" w:rsidRDefault="005268B9" w14:paraId="3E5544D3"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10</w:t>
      </w:r>
      <w:r>
        <w:rPr>
          <w:rFonts w:asciiTheme="minorHAnsi" w:hAnsiTheme="minorHAnsi"/>
        </w:rPr>
        <w:fldChar w:fldCharType="end"/>
      </w:r>
      <w:r>
        <w:rPr>
          <w:rFonts w:asciiTheme="minorHAnsi" w:hAnsiTheme="minorHAnsi"/>
        </w:rPr>
        <w:t xml:space="preserve"> – Relocation and Real Property Acquisition</w:t>
      </w:r>
    </w:p>
    <w:p w:rsidR="00FE3457" w:rsidRDefault="00FE3457" w14:paraId="7618A91F" w14:textId="77777777">
      <w:pPr>
        <w:spacing w:after="0" w:line="240" w:lineRule="auto"/>
        <w:rPr>
          <w:b/>
        </w:rPr>
      </w:pPr>
    </w:p>
    <w:p w:rsidR="00FE3457" w:rsidRDefault="00FE3457" w14:paraId="250806ED" w14:textId="77777777">
      <w:pPr>
        <w:spacing w:after="0" w:line="240" w:lineRule="auto"/>
        <w:rPr>
          <w:b/>
        </w:rPr>
      </w:pPr>
    </w:p>
    <w:p w:rsidR="00FE3457" w:rsidRDefault="00FE3457" w14:paraId="3D35B4DD" w14:textId="77777777">
      <w:pPr>
        <w:widowControl w:val="false"/>
        <w:spacing w:after="0" w:line="240" w:lineRule="auto"/>
        <w:rPr>
          <w:sz w:val="24"/>
          <w:szCs w:val="24"/>
        </w:rPr>
      </w:pPr>
    </w:p>
    <w:p w:rsidR="00FE3457" w:rsidRDefault="00FE3457" w14:paraId="6098C37B" w14:textId="77777777">
      <w:pPr>
        <w:spacing w:after="0" w:line="240" w:lineRule="auto"/>
      </w:pPr>
      <w:bookmarkStart w:name="_Toc309810475" w:id="1"/>
    </w:p>
    <w:p w:rsidR="00FE3457" w:rsidRDefault="00FE3457" w14:paraId="24A2EE5C" w14:textId="77777777">
      <w:pPr>
        <w:sectPr w:rsidR="00FE3457">
          <w:pgSz w:w="12240" w:h="15840" w:orient="portrait" w:code="1"/>
          <w:pgMar w:top="1440" w:right="1440" w:bottom="1440" w:left="1440" w:header="720" w:footer="720" w:gutter="0"/>
          <w:cols w:space="720"/>
          <w:docGrid w:linePitch="360"/>
        </w:sectPr>
      </w:pPr>
    </w:p>
    <w:p w:rsidR="00FE3457" w:rsidRDefault="005268B9" w14:paraId="6701CC81" w14:textId="77777777">
      <w:pPr>
        <w:pStyle w:val="Heading2"/>
        <w:rPr>
          <w:rFonts w:ascii="Calibri" w:hAnsi="Calibri"/>
          <w:i w:val="false"/>
        </w:rPr>
      </w:pPr>
      <w:r>
        <w:rPr>
          <w:rFonts w:ascii="Calibri" w:hAnsi="Calibri"/>
          <w:i w:val="false"/>
        </w:rPr>
        <w:t>CR-20 - Affordable Housing 91.520(b)</w:t>
      </w:r>
    </w:p>
    <w:p w:rsidR="00FE3457" w:rsidRDefault="005268B9" w14:paraId="2191E62D" w14:textId="77777777">
      <w:pPr>
        <w:keepNext/>
        <w:widowControl w:val="false"/>
        <w:spacing w:after="0" w:line="240" w:lineRule="auto"/>
        <w:rPr>
          <w:b/>
          <w:sz w:val="24"/>
          <w:szCs w:val="24"/>
        </w:rPr>
      </w:pPr>
      <w:r>
        <w:rPr>
          <w:b/>
          <w:sz w:val="24"/>
          <w:szCs w:val="24"/>
        </w:rPr>
        <w:t>Evaluation of the jurisdiction's progress in providing affordable housing, including the number and types of families served, the number of extremely low-income, low-income, moderate-income, and middle-income persons served.</w:t>
      </w:r>
    </w:p>
    <w:p w:rsidR="00FE3457" w:rsidRDefault="00FE3457" w14:paraId="0233563C" w14:textId="77777777">
      <w:pPr>
        <w:keepNext/>
        <w:widowControl w:val="false"/>
        <w:spacing w:after="0" w:line="240" w:lineRule="auto"/>
        <w:rPr>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183"/>
        <w:gridCol w:w="2583"/>
        <w:gridCol w:w="2584"/>
      </w:tblGrid>
      <w:tr w:rsidR="00FE3457" w14:paraId="1C0AE303" w14:textId="77777777">
        <w:trPr>
          <w:cantSplit/>
          <w:tblHeader/>
        </w:trPr>
        <w:tc>
          <w:tcPr>
            <w:tcW w:w="4293" w:type="dxa"/>
          </w:tcPr>
          <w:p w:rsidR="00FE3457" w:rsidRDefault="00FE3457" w14:paraId="5947B4EE" w14:textId="77777777">
            <w:pPr>
              <w:pStyle w:val="Caption"/>
              <w:keepNext/>
              <w:widowControl w:val="false"/>
              <w:jc w:val="center"/>
              <w:rPr>
                <w:rFonts w:ascii="Calibri" w:hAnsi="Calibri"/>
                <w:sz w:val="22"/>
                <w:szCs w:val="22"/>
              </w:rPr>
            </w:pPr>
          </w:p>
        </w:tc>
        <w:tc>
          <w:tcPr>
            <w:tcW w:w="2648" w:type="dxa"/>
          </w:tcPr>
          <w:p w:rsidR="00FE3457" w:rsidRDefault="005268B9" w14:paraId="24230CDD" w14:textId="77777777">
            <w:pPr>
              <w:pStyle w:val="Caption"/>
              <w:keepNext/>
              <w:widowControl w:val="false"/>
              <w:jc w:val="center"/>
              <w:rPr>
                <w:rFonts w:ascii="Calibri" w:hAnsi="Calibri"/>
                <w:sz w:val="22"/>
                <w:szCs w:val="22"/>
              </w:rPr>
            </w:pPr>
            <w:r>
              <w:rPr>
                <w:rFonts w:ascii="Calibri" w:hAnsi="Calibri"/>
                <w:sz w:val="22"/>
                <w:szCs w:val="22"/>
              </w:rPr>
              <w:t>One-Year Goal</w:t>
            </w:r>
          </w:p>
        </w:tc>
        <w:tc>
          <w:tcPr>
            <w:tcW w:w="2649" w:type="dxa"/>
          </w:tcPr>
          <w:p w:rsidR="00FE3457" w:rsidRDefault="005268B9" w14:paraId="60A19607" w14:textId="77777777">
            <w:pPr>
              <w:pStyle w:val="Caption"/>
              <w:keepNext/>
              <w:widowControl w:val="false"/>
              <w:jc w:val="center"/>
              <w:rPr>
                <w:rFonts w:ascii="Calibri" w:hAnsi="Calibri"/>
                <w:sz w:val="22"/>
                <w:szCs w:val="22"/>
              </w:rPr>
            </w:pPr>
            <w:r>
              <w:rPr>
                <w:rFonts w:ascii="Calibri" w:hAnsi="Calibri"/>
                <w:sz w:val="22"/>
                <w:szCs w:val="22"/>
              </w:rPr>
              <w:t>Actual</w:t>
            </w:r>
          </w:p>
        </w:tc>
      </w:tr>
      <w:tr>
        <w:trPr>
          <w:cantSplit w:val="true"/>
        </w:trPr>
        <w:tc>
          <w:tcPr>
            <w:vAlign w:val="bottom"/>
          </w:tcPr>
          <w:p>
            <w:pPr>
              <w:spacing w:beforeAutospacing="true" w:afterAutospacing="true"/>
              <w:jc w:val="left"/>
            </w:pPr>
            <w:r>
              <w:rPr>
                <w:rFonts w:ascii="Calibri" w:hAnsi="Calibri"/>
                <w:color w:val="000000"/>
                <w:sz w:val="22"/>
              </w:rPr>
              <w:t xml:space="preserve">Number of Homeless households to be provided affordable housing units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Number of Non-Homeless households to be provided affordable housing units</w:t>
            </w:r>
          </w:p>
        </w:tc>
        <w:tc>
          <w:tcPr>
            <w:vAlign w:val="bottom"/>
          </w:tcPr>
          <w:p>
            <w:pPr>
              <w:spacing w:beforeAutospacing="true" w:afterAutospacing="true"/>
              <w:jc w:val="right"/>
            </w:pPr>
            <w:r>
              <w:rPr>
                <w:rFonts w:ascii="Calibri" w:hAnsi="Calibri"/>
                <w:color w:val="000000"/>
                <w:sz w:val="22"/>
              </w:rPr>
              <w:t xml:space="preserve">111</w:t>
            </w:r>
          </w:p>
        </w:tc>
        <w:tc>
          <w:tcPr>
            <w:vAlign w:val="bottom"/>
          </w:tcPr>
          <w:p>
            <w:pPr>
              <w:spacing w:beforeAutospacing="true" w:afterAutospacing="true"/>
              <w:jc w:val="right"/>
            </w:pPr>
            <w:r>
              <w:rPr>
                <w:rFonts w:ascii="Calibri" w:hAnsi="Calibri"/>
                <w:color w:val="000000"/>
                <w:sz w:val="22"/>
              </w:rPr>
              <w:t xml:space="preserve">119</w:t>
            </w:r>
          </w:p>
        </w:tc>
      </w:tr>
      <w:tr>
        <w:trPr>
          <w:cantSplit w:val="true"/>
        </w:trPr>
        <w:tc>
          <w:tcPr>
            <w:vAlign w:val="bottom"/>
          </w:tcPr>
          <w:p>
            <w:pPr>
              <w:spacing w:beforeAutospacing="true" w:afterAutospacing="true"/>
              <w:jc w:val="left"/>
            </w:pPr>
            <w:r>
              <w:rPr>
                <w:rFonts w:ascii="Calibri" w:hAnsi="Calibri"/>
                <w:color w:val="000000"/>
                <w:sz w:val="22"/>
              </w:rPr>
              <w:t xml:space="preserve">Number of Special-Needs households to be provided affordable housing units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111</w:t>
            </w:r>
          </w:p>
        </w:tc>
        <w:tc>
          <w:tcPr>
            <w:vAlign w:val="bottom"/>
          </w:tcPr>
          <w:p>
            <w:pPr>
              <w:spacing w:beforeAutospacing="true" w:afterAutospacing="true"/>
              <w:jc w:val="right"/>
            </w:pPr>
            <w:r>
              <w:rPr>
                <w:rFonts w:ascii="Calibri" w:hAnsi="Calibri"/>
                <w:b/>
                <w:color w:val="000000"/>
                <w:sz w:val="22"/>
              </w:rPr>
              <w:t xml:space="preserve">119</w:t>
            </w:r>
          </w:p>
        </w:tc>
      </w:tr>
    </w:tbl>
    <w:p w:rsidR="00FE3457" w:rsidRDefault="005268B9" w14:paraId="781DD4E9"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11</w:t>
      </w:r>
      <w:r>
        <w:rPr>
          <w:rFonts w:asciiTheme="minorHAnsi" w:hAnsiTheme="minorHAnsi"/>
        </w:rPr>
        <w:fldChar w:fldCharType="end"/>
      </w:r>
      <w:r>
        <w:rPr>
          <w:rFonts w:asciiTheme="minorHAnsi" w:hAnsiTheme="minorHAnsi"/>
        </w:rPr>
        <w:t xml:space="preserve"> – Number of Households</w:t>
      </w:r>
    </w:p>
    <w:p w:rsidR="00FE3457" w:rsidRDefault="00FE3457" w14:paraId="621AFB6B" w14:textId="77777777"/>
    <w:p w:rsidR="00FE3457" w:rsidRDefault="00FE3457" w14:paraId="2E471027" w14:textId="77777777"/>
    <w:p w:rsidR="00FE3457" w:rsidRDefault="00FE3457" w14:paraId="0915588A" w14:textId="77777777">
      <w:pPr>
        <w:rPr>
          <w:rFonts w:cs="Arial"/>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183"/>
        <w:gridCol w:w="2583"/>
        <w:gridCol w:w="2584"/>
      </w:tblGrid>
      <w:tr w:rsidR="00FE3457" w14:paraId="31B65384" w14:textId="77777777">
        <w:trPr>
          <w:cantSplit/>
          <w:tblHeader/>
        </w:trPr>
        <w:tc>
          <w:tcPr>
            <w:tcW w:w="4293" w:type="dxa"/>
          </w:tcPr>
          <w:p w:rsidR="00FE3457" w:rsidRDefault="00FE3457" w14:paraId="567625D5" w14:textId="77777777">
            <w:pPr>
              <w:pStyle w:val="Caption"/>
              <w:keepNext/>
              <w:widowControl w:val="false"/>
              <w:jc w:val="center"/>
              <w:rPr>
                <w:rFonts w:ascii="Calibri" w:hAnsi="Calibri"/>
                <w:sz w:val="22"/>
                <w:szCs w:val="22"/>
              </w:rPr>
            </w:pPr>
          </w:p>
        </w:tc>
        <w:tc>
          <w:tcPr>
            <w:tcW w:w="2648" w:type="dxa"/>
          </w:tcPr>
          <w:p w:rsidR="00FE3457" w:rsidRDefault="005268B9" w14:paraId="47758374" w14:textId="77777777">
            <w:pPr>
              <w:pStyle w:val="Caption"/>
              <w:keepNext/>
              <w:widowControl w:val="false"/>
              <w:jc w:val="center"/>
              <w:rPr>
                <w:rFonts w:ascii="Calibri" w:hAnsi="Calibri"/>
                <w:sz w:val="22"/>
                <w:szCs w:val="22"/>
              </w:rPr>
            </w:pPr>
            <w:r>
              <w:rPr>
                <w:rFonts w:ascii="Calibri" w:hAnsi="Calibri"/>
                <w:sz w:val="22"/>
                <w:szCs w:val="22"/>
              </w:rPr>
              <w:t>One-Year Goal</w:t>
            </w:r>
          </w:p>
        </w:tc>
        <w:tc>
          <w:tcPr>
            <w:tcW w:w="2649" w:type="dxa"/>
          </w:tcPr>
          <w:p w:rsidR="00FE3457" w:rsidRDefault="005268B9" w14:paraId="136A7E7B" w14:textId="77777777">
            <w:pPr>
              <w:pStyle w:val="Caption"/>
              <w:keepNext/>
              <w:widowControl w:val="false"/>
              <w:jc w:val="center"/>
              <w:rPr>
                <w:rFonts w:ascii="Calibri" w:hAnsi="Calibri"/>
                <w:sz w:val="22"/>
                <w:szCs w:val="22"/>
              </w:rPr>
            </w:pPr>
            <w:r>
              <w:rPr>
                <w:rFonts w:ascii="Calibri" w:hAnsi="Calibri"/>
                <w:sz w:val="22"/>
                <w:szCs w:val="22"/>
              </w:rPr>
              <w:t>Actual</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Rental Assistance</w:t>
            </w:r>
          </w:p>
        </w:tc>
        <w:tc>
          <w:tcPr>
            <w:vAlign w:val="bottom"/>
          </w:tcPr>
          <w:p>
            <w:pPr>
              <w:spacing w:beforeAutospacing="true" w:afterAutospacing="true"/>
              <w:jc w:val="right"/>
            </w:pPr>
            <w:r>
              <w:rPr>
                <w:rFonts w:ascii="Calibri" w:hAnsi="Calibri"/>
                <w:color w:val="000000"/>
                <w:sz w:val="22"/>
              </w:rPr>
              <w:t xml:space="preserve">90</w:t>
            </w:r>
          </w:p>
        </w:tc>
        <w:tc>
          <w:tcPr>
            <w:vAlign w:val="bottom"/>
          </w:tcPr>
          <w:p>
            <w:pPr>
              <w:spacing w:beforeAutospacing="true" w:afterAutospacing="true"/>
              <w:jc w:val="right"/>
            </w:pPr>
            <w:r>
              <w:rPr>
                <w:rFonts w:ascii="Calibri" w:hAnsi="Calibri"/>
                <w:color w:val="000000"/>
                <w:sz w:val="22"/>
              </w:rPr>
              <w:t xml:space="preserve">103</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The Production of New Units</w:t>
            </w:r>
          </w:p>
        </w:tc>
        <w:tc>
          <w:tcPr>
            <w:vAlign w:val="bottom"/>
          </w:tcPr>
          <w:p>
            <w:pPr>
              <w:spacing w:beforeAutospacing="true" w:afterAutospacing="true"/>
              <w:jc w:val="right"/>
            </w:pPr>
            <w:r>
              <w:rPr>
                <w:rFonts w:ascii="Calibri" w:hAnsi="Calibri"/>
                <w:color w:val="000000"/>
                <w:sz w:val="22"/>
              </w:rPr>
              <w:t xml:space="preserve">1</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Rehab of Existing Units</w:t>
            </w:r>
          </w:p>
        </w:tc>
        <w:tc>
          <w:tcPr>
            <w:vAlign w:val="bottom"/>
          </w:tcPr>
          <w:p>
            <w:pPr>
              <w:spacing w:beforeAutospacing="true" w:afterAutospacing="true"/>
              <w:jc w:val="right"/>
            </w:pPr>
            <w:r>
              <w:rPr>
                <w:rFonts w:ascii="Calibri" w:hAnsi="Calibri"/>
                <w:color w:val="000000"/>
                <w:sz w:val="22"/>
              </w:rPr>
              <w:t xml:space="preserve">10</w:t>
            </w:r>
          </w:p>
        </w:tc>
        <w:tc>
          <w:tcPr>
            <w:vAlign w:val="bottom"/>
          </w:tcPr>
          <w:p>
            <w:pPr>
              <w:spacing w:beforeAutospacing="true" w:afterAutospacing="true"/>
              <w:jc w:val="right"/>
            </w:pPr>
            <w:r>
              <w:rPr>
                <w:rFonts w:ascii="Calibri" w:hAnsi="Calibri"/>
                <w:color w:val="000000"/>
                <w:sz w:val="22"/>
              </w:rPr>
              <w:t xml:space="preserve">8</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Acquisition of Existing Units</w:t>
            </w:r>
          </w:p>
        </w:tc>
        <w:tc>
          <w:tcPr>
            <w:vAlign w:val="bottom"/>
          </w:tcPr>
          <w:p>
            <w:pPr>
              <w:spacing w:beforeAutospacing="true" w:afterAutospacing="true"/>
              <w:jc w:val="right"/>
            </w:pPr>
            <w:r>
              <w:rPr>
                <w:rFonts w:ascii="Calibri" w:hAnsi="Calibri"/>
                <w:color w:val="000000"/>
                <w:sz w:val="22"/>
              </w:rPr>
              <w:t xml:space="preserve">10</w:t>
            </w:r>
          </w:p>
        </w:tc>
        <w:tc>
          <w:tcPr>
            <w:vAlign w:val="bottom"/>
          </w:tcPr>
          <w:p>
            <w:pPr>
              <w:spacing w:beforeAutospacing="true" w:afterAutospacing="true"/>
              <w:jc w:val="right"/>
            </w:pPr>
            <w:r>
              <w:rPr>
                <w:rFonts w:ascii="Calibri" w:hAnsi="Calibri"/>
                <w:color w:val="000000"/>
                <w:sz w:val="22"/>
              </w:rPr>
              <w:t xml:space="preserve">8</w:t>
            </w:r>
          </w:p>
        </w:tc>
      </w:tr>
      <w:tr>
        <w:trPr>
          <w:cantSplit w:val="true"/>
        </w:trPr>
        <w:tc>
          <w:tcPr>
            <w:vAlign w:val="top"/>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111</w:t>
            </w:r>
          </w:p>
        </w:tc>
        <w:tc>
          <w:tcPr>
            <w:vAlign w:val="bottom"/>
          </w:tcPr>
          <w:p>
            <w:pPr>
              <w:spacing w:beforeAutospacing="true" w:afterAutospacing="true"/>
              <w:jc w:val="right"/>
            </w:pPr>
            <w:r>
              <w:rPr>
                <w:rFonts w:ascii="Calibri" w:hAnsi="Calibri"/>
                <w:b/>
                <w:color w:val="000000"/>
                <w:sz w:val="22"/>
              </w:rPr>
              <w:t xml:space="preserve">119</w:t>
            </w:r>
          </w:p>
        </w:tc>
      </w:tr>
    </w:tbl>
    <w:p w:rsidR="00FE3457" w:rsidRDefault="005268B9" w14:paraId="57CBD3EB"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12</w:t>
      </w:r>
      <w:r>
        <w:rPr>
          <w:rFonts w:asciiTheme="minorHAnsi" w:hAnsiTheme="minorHAnsi"/>
        </w:rPr>
        <w:fldChar w:fldCharType="end"/>
      </w:r>
      <w:r>
        <w:rPr>
          <w:rFonts w:asciiTheme="minorHAnsi" w:hAnsiTheme="minorHAnsi"/>
        </w:rPr>
        <w:t xml:space="preserve"> – Number of Households Supported</w:t>
      </w:r>
    </w:p>
    <w:p w:rsidR="00FE3457" w:rsidRDefault="00FE3457" w14:paraId="70EA92A7" w14:textId="77777777">
      <w:pPr>
        <w:rPr>
          <w:rFonts w:cs="Arial"/>
        </w:rPr>
      </w:pPr>
    </w:p>
    <w:p w:rsidR="00FE3457" w:rsidRDefault="00FE3457" w14:paraId="56B38645" w14:textId="77777777">
      <w:pPr>
        <w:rPr>
          <w:rFonts w:cs="Arial"/>
        </w:rPr>
      </w:pPr>
    </w:p>
    <w:p w:rsidR="00FE3457" w:rsidRDefault="005268B9" w14:paraId="10D2A1AC" w14:textId="77777777">
      <w:pPr>
        <w:widowControl w:val="false"/>
        <w:spacing w:line="204" w:lineRule="auto"/>
        <w:rPr>
          <w:b/>
          <w:sz w:val="24"/>
          <w:szCs w:val="24"/>
        </w:rPr>
      </w:pPr>
      <w:r>
        <w:rPr>
          <w:b/>
          <w:sz w:val="24"/>
          <w:szCs w:val="24"/>
        </w:rPr>
        <w:t>Discuss the difference between goals and outcomes and problems encountered in meeting these goals.</w:t>
      </w:r>
    </w:p>
    <w:p>
      <w:pPr>
        <w:spacing w:beforeAutospacing="true" w:afterAutospacing="true"/>
        <w:rPr>
          <w:rFonts w:cs="Arial"/>
        </w:rPr>
      </w:pPr>
      <w:r>
        <w:rPr>
          <w:rFonts w:cs="Arial"/>
        </w:rPr>
        <w:t xml:space="preserve">The City assisted eight families with rehabilitation needs to their single-family properties based on a goal of 10. The HOME program also provided down payment and closing cost assistance to eight clients based on a goal of 10.  103 indivduals and families were assisted with rent, utilities, and deposits based on a goal of 90.  So the housing goals were exceeded and 119 were assisted based on a goal of 111.</w:t>
      </w:r>
    </w:p>
    <w:p>
      <w:pPr>
        <w:spacing w:beforeAutospacing="true" w:afterAutospacing="true"/>
        <w:rPr>
          <w:rFonts w:cs="Arial"/>
        </w:rPr>
      </w:pPr>
      <w:r>
        <w:rPr>
          <w:rFonts w:cs="Arial"/>
        </w:rPr>
        <w:t xml:space="preserve">The City of Charleston continued to support and fund the Housing Rehabilitation, Emergency Rehabilitation, First Time Home Buyers and Home CHDO projects in an effort to foster and maintain affordable housing. The City countinues to work within multiple departments to address additional issues in the areas of building and planning. This is an effort to make affordable housing more inclusive in program development in the future.  Additionally, the City continues to work with the land reuse agency to capture deteriating property and facilitate the redevelopment into viable alternatives.  A partnership with the Charleston Kanawha Housing Self-Sufficiency Program and the Housing Choice Voucher program continues to allow public housing receipients access to home purchase progams.  This partnership includes lenders, and a non-profit credit counseling agency.  Expansion to social service providers is still in consideration in combination with the new HOME ARP funding.</w:t>
      </w:r>
    </w:p>
    <w:p w:rsidR="00FE3457" w:rsidRDefault="005268B9" w14:paraId="4BF2877E" w14:textId="77777777">
      <w:pPr>
        <w:widowControl w:val="false"/>
        <w:spacing w:line="204" w:lineRule="auto"/>
        <w:rPr>
          <w:b/>
          <w:sz w:val="24"/>
          <w:szCs w:val="24"/>
        </w:rPr>
      </w:pPr>
      <w:r>
        <w:rPr>
          <w:b/>
          <w:sz w:val="24"/>
          <w:szCs w:val="24"/>
        </w:rPr>
        <w:t>Discuss how these outcomes will impact future annual action plans.</w:t>
      </w:r>
    </w:p>
    <w:p>
      <w:pPr>
        <w:spacing w:beforeAutospacing="true" w:afterAutospacing="true"/>
        <w:rPr>
          <w:rFonts w:cs="Arial"/>
        </w:rPr>
      </w:pPr>
      <w:r>
        <w:rPr>
          <w:rFonts w:cs="Arial"/>
        </w:rPr>
        <w:t xml:space="preserve">The intention of the City is to continue the current programs into the upcoming program year.  The goal is to expand outreach in innovative ways in addition to opening conversations with more local lenders and real estate professionals as a way to reach more clients, especially clients who may qualify for assistance.</w:t>
      </w:r>
    </w:p>
    <w:p w:rsidR="00FE3457" w:rsidRDefault="005268B9" w14:paraId="5DC69D59" w14:textId="77777777">
      <w:pPr>
        <w:keepNext/>
        <w:widowControl w:val="false"/>
        <w:spacing w:line="204" w:lineRule="auto"/>
        <w:rPr>
          <w:b/>
          <w:sz w:val="24"/>
          <w:szCs w:val="24"/>
        </w:rPr>
      </w:pPr>
      <w:r>
        <w:rPr>
          <w:b/>
          <w:sz w:val="24"/>
          <w:szCs w:val="24"/>
        </w:rPr>
        <w:t>Include the number of extremely low-income, low-income, and moderate-income persons served by each activity where information on income by family size is required to determine the eligibility of the activity.</w:t>
      </w:r>
    </w:p>
    <w:p w:rsidR="00FE3457" w:rsidRDefault="00FE3457" w14:paraId="08AAA810" w14:textId="77777777">
      <w:pPr>
        <w:widowControl w:val="false"/>
        <w:spacing w:line="204" w:lineRule="auto"/>
        <w:rPr>
          <w:b/>
          <w:vanish/>
          <w:sz w:val="24"/>
          <w:szCs w:val="24"/>
        </w:rPr>
      </w:pPr>
    </w:p>
    <w:tbl>
      <w:tblPr>
        <w:tblW w:w="0" w:type="auto"/>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081"/>
        <w:gridCol w:w="1859"/>
        <w:gridCol w:w="1890"/>
        <w:gridCol w:w="25"/>
      </w:tblGrid>
      <w:tr w:rsidR="00FE3457" w14:paraId="225D7B5E" w14:textId="77777777">
        <w:trPr>
          <w:cantSplit/>
        </w:trPr>
        <w:tc>
          <w:tcPr>
            <w:tcW w:w="4081" w:type="dxa"/>
          </w:tcPr>
          <w:p w:rsidR="00FE3457" w:rsidRDefault="005268B9" w14:paraId="749B745D" w14:textId="77777777">
            <w:pPr>
              <w:keepNext/>
              <w:widowControl w:val="false"/>
              <w:spacing w:after="0" w:line="240" w:lineRule="auto"/>
              <w:jc w:val="center"/>
              <w:rPr>
                <w:b/>
              </w:rPr>
            </w:pPr>
            <w:r>
              <w:rPr>
                <w:b/>
              </w:rPr>
              <w:t>Number  of Households Served</w:t>
            </w:r>
          </w:p>
        </w:tc>
        <w:tc>
          <w:tcPr>
            <w:tcW w:w="1859" w:type="dxa"/>
          </w:tcPr>
          <w:p w:rsidR="00FE3457" w:rsidRDefault="005268B9" w14:paraId="7103D1BB" w14:textId="77777777">
            <w:pPr>
              <w:keepNext/>
              <w:widowControl w:val="false"/>
              <w:spacing w:after="0" w:line="240" w:lineRule="auto"/>
              <w:jc w:val="center"/>
              <w:rPr>
                <w:b/>
              </w:rPr>
            </w:pPr>
            <w:r>
              <w:rPr>
                <w:b/>
              </w:rPr>
              <w:t>CDBG Actual</w:t>
            </w:r>
          </w:p>
        </w:tc>
        <w:tc>
          <w:tcPr>
            <w:tcW w:w="1915" w:type="dxa"/>
            <w:gridSpan w:val="2"/>
          </w:tcPr>
          <w:p w:rsidR="00FE3457" w:rsidRDefault="005268B9" w14:paraId="61A696C3" w14:textId="77777777">
            <w:pPr>
              <w:keepNext/>
              <w:widowControl w:val="false"/>
              <w:spacing w:after="0" w:line="240" w:lineRule="auto"/>
              <w:jc w:val="center"/>
              <w:rPr>
                <w:b/>
              </w:rPr>
            </w:pPr>
            <w:r>
              <w:rPr>
                <w:b/>
              </w:rPr>
              <w:t>HOME Actual</w:t>
            </w:r>
          </w:p>
        </w:tc>
      </w:tr>
      <w:tr>
        <w:trPr>
          <w:cantSplit w:val="true"/>
        </w:trPr>
        <w:tc>
          <w:tcPr>
            <w:vAlign w:val="bottom"/>
          </w:tcPr>
          <w:p>
            <w:pPr>
              <w:spacing w:beforeAutospacing="true" w:afterAutospacing="true"/>
              <w:jc w:val="left"/>
            </w:pPr>
            <w:r>
              <w:rPr>
                <w:rFonts w:ascii="Calibri" w:hAnsi="Calibri"/>
                <w:color w:val="000000"/>
                <w:sz w:val="22"/>
              </w:rPr>
              <w:t xml:space="preserve">Extremely Low-income</w:t>
            </w:r>
          </w:p>
        </w:tc>
        <w:tc>
          <w:tcPr>
            <w:vAlign w:val="bottom"/>
          </w:tcPr>
          <w:p>
            <w:pPr>
              <w:spacing w:beforeAutospacing="true" w:afterAutospacing="true"/>
              <w:jc w:val="right"/>
            </w:pPr>
            <w:r>
              <w:rPr>
                <w:rFonts w:ascii="Calibri" w:hAnsi="Calibri"/>
                <w:color w:val="000000"/>
                <w:sz w:val="22"/>
              </w:rPr>
              <w:t xml:space="preserve">3</w:t>
            </w:r>
          </w:p>
        </w:tc>
        <w:tc>
          <w:tcPr>
            <w:vAlign w:val="bottom"/>
          </w:tcPr>
          <w:p>
            <w:pPr>
              <w:spacing w:beforeAutospacing="true" w:afterAutospacing="true"/>
              <w:jc w:val="right"/>
            </w:pPr>
            <w:r>
              <w:rPr>
                <w:rFonts w:ascii="Calibri" w:hAnsi="Calibri"/>
                <w:color w:val="000000"/>
                <w:sz w:val="22"/>
              </w:rPr>
              <w:t xml:space="preserve">1</w:t>
            </w:r>
          </w:p>
        </w:tc>
      </w:tr>
      <w:tr>
        <w:trPr>
          <w:cantSplit w:val="true"/>
        </w:trPr>
        <w:tc>
          <w:tcPr>
            <w:vAlign w:val="bottom"/>
          </w:tcPr>
          <w:p>
            <w:pPr>
              <w:spacing w:beforeAutospacing="true" w:afterAutospacing="true"/>
              <w:jc w:val="left"/>
            </w:pPr>
            <w:r>
              <w:rPr>
                <w:rFonts w:ascii="Calibri" w:hAnsi="Calibri"/>
                <w:color w:val="000000"/>
                <w:sz w:val="22"/>
              </w:rPr>
              <w:t xml:space="preserve">Low-income</w:t>
            </w:r>
          </w:p>
        </w:tc>
        <w:tc>
          <w:tcPr>
            <w:vAlign w:val="bottom"/>
          </w:tcPr>
          <w:p>
            <w:pPr>
              <w:spacing w:beforeAutospacing="true" w:afterAutospacing="true"/>
              <w:jc w:val="right"/>
            </w:pPr>
            <w:r>
              <w:rPr>
                <w:rFonts w:ascii="Calibri" w:hAnsi="Calibri"/>
                <w:color w:val="000000"/>
                <w:sz w:val="22"/>
              </w:rPr>
              <w:t xml:space="preserve">2</w:t>
            </w:r>
          </w:p>
        </w:tc>
        <w:tc>
          <w:tcPr>
            <w:vAlign w:val="bottom"/>
          </w:tcPr>
          <w:p>
            <w:pPr>
              <w:spacing w:beforeAutospacing="true" w:afterAutospacing="true"/>
              <w:jc w:val="right"/>
            </w:pPr>
            <w:r>
              <w:rPr>
                <w:rFonts w:ascii="Calibri" w:hAnsi="Calibri"/>
                <w:color w:val="000000"/>
                <w:sz w:val="22"/>
              </w:rPr>
              <w:t xml:space="preserve">2</w:t>
            </w:r>
          </w:p>
        </w:tc>
      </w:tr>
      <w:tr>
        <w:trPr>
          <w:cantSplit w:val="true"/>
        </w:trPr>
        <w:tc>
          <w:tcPr>
            <w:vAlign w:val="bottom"/>
          </w:tcPr>
          <w:p>
            <w:pPr>
              <w:spacing w:beforeAutospacing="true" w:afterAutospacing="true"/>
              <w:jc w:val="left"/>
            </w:pPr>
            <w:r>
              <w:rPr>
                <w:rFonts w:ascii="Calibri" w:hAnsi="Calibri"/>
                <w:color w:val="000000"/>
                <w:sz w:val="22"/>
              </w:rPr>
              <w:t xml:space="preserve">Moderate-income</w:t>
            </w:r>
          </w:p>
        </w:tc>
        <w:tc>
          <w:tcPr>
            <w:vAlign w:val="bottom"/>
          </w:tcPr>
          <w:p>
            <w:pPr>
              <w:spacing w:beforeAutospacing="true" w:afterAutospacing="true"/>
              <w:jc w:val="right"/>
            </w:pPr>
            <w:r>
              <w:rPr>
                <w:rFonts w:ascii="Calibri" w:hAnsi="Calibri"/>
                <w:color w:val="000000"/>
                <w:sz w:val="22"/>
              </w:rPr>
              <w:t xml:space="preserve">3</w:t>
            </w:r>
          </w:p>
        </w:tc>
        <w:tc>
          <w:tcPr>
            <w:vAlign w:val="bottom"/>
          </w:tcPr>
          <w:p>
            <w:pPr>
              <w:spacing w:beforeAutospacing="true" w:afterAutospacing="true"/>
              <w:jc w:val="right"/>
            </w:pPr>
            <w:r>
              <w:rPr>
                <w:rFonts w:ascii="Calibri" w:hAnsi="Calibri"/>
                <w:color w:val="000000"/>
                <w:sz w:val="22"/>
              </w:rPr>
              <w:t xml:space="preserve">5</w:t>
            </w: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8</w:t>
            </w:r>
          </w:p>
        </w:tc>
        <w:tc>
          <w:tcPr>
            <w:vAlign w:val="bottom"/>
          </w:tcPr>
          <w:p>
            <w:pPr>
              <w:spacing w:beforeAutospacing="true" w:afterAutospacing="true"/>
              <w:jc w:val="right"/>
            </w:pPr>
            <w:r>
              <w:rPr>
                <w:rFonts w:ascii="Calibri" w:hAnsi="Calibri"/>
                <w:b/>
                <w:color w:val="000000"/>
                <w:sz w:val="22"/>
              </w:rPr>
              <w:t xml:space="preserve">8</w:t>
            </w:r>
          </w:p>
        </w:tc>
      </w:tr>
    </w:tbl>
    <w:p w:rsidR="00FE3457" w:rsidRDefault="005268B9" w14:paraId="18D6BA54"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13</w:t>
      </w:r>
      <w:r>
        <w:rPr>
          <w:rFonts w:asciiTheme="minorHAnsi" w:hAnsiTheme="minorHAnsi"/>
        </w:rPr>
        <w:fldChar w:fldCharType="end"/>
      </w:r>
      <w:r>
        <w:rPr>
          <w:rFonts w:asciiTheme="minorHAnsi" w:hAnsiTheme="minorHAnsi"/>
        </w:rPr>
        <w:t xml:space="preserve"> – Number of Households Served</w:t>
      </w:r>
    </w:p>
    <w:p w:rsidR="00FE3457" w:rsidRDefault="00FE3457" w14:paraId="0994303C" w14:textId="77777777">
      <w:pPr>
        <w:widowControl w:val="false"/>
        <w:spacing w:line="204" w:lineRule="auto"/>
        <w:rPr>
          <w:b/>
          <w:sz w:val="24"/>
          <w:szCs w:val="24"/>
        </w:rPr>
      </w:pPr>
    </w:p>
    <w:p w:rsidR="00FE3457" w:rsidRDefault="00FE3457" w14:paraId="0613CC25" w14:textId="77777777">
      <w:pPr>
        <w:widowControl w:val="false"/>
        <w:spacing w:line="204" w:lineRule="auto"/>
        <w:rPr>
          <w:b/>
          <w:sz w:val="24"/>
          <w:szCs w:val="24"/>
        </w:rPr>
      </w:pPr>
    </w:p>
    <w:p w:rsidR="00FE3457" w:rsidRDefault="005268B9" w14:paraId="7F5DEB2E" w14:textId="77777777">
      <w:pPr>
        <w:widowControl w:val="false"/>
        <w:spacing w:line="204" w:lineRule="auto"/>
        <w:rPr>
          <w:b/>
          <w:sz w:val="24"/>
          <w:szCs w:val="24"/>
        </w:rPr>
      </w:pPr>
      <w:r>
        <w:rPr>
          <w:b/>
          <w:sz w:val="24"/>
          <w:szCs w:val="24"/>
        </w:rPr>
        <w:t>Narrative Information</w:t>
      </w:r>
    </w:p>
    <w:p>
      <w:pPr>
        <w:spacing w:beforeAutospacing="true" w:afterAutospacing="true"/>
        <w:rPr>
          <w:rFonts w:cs="Arial"/>
        </w:rPr>
      </w:pPr>
      <w:r>
        <w:rPr>
          <w:rFonts w:cs="Arial"/>
        </w:rPr>
        <w:t xml:space="preserve">The City of Charleston/Kanawha County HOME Consortium funds were allocated to income eligible households to purchase an affordable house or develop affordable housing.  CDBG funds were allocated to assist income eligible households with rehabilitation of their owner-occupied units. All the funds benefit low-and moderate-income households. The priority for the use of HOME is first time home buyers and CDBG is homeowner occupied units.  Rental properties have been funded in the past if funds are available to support the project.  No rental properties were funded in this past funding year.   </w:t>
      </w:r>
    </w:p>
    <w:p>
      <w:pPr>
        <w:spacing w:beforeAutospacing="true" w:afterAutospacing="true"/>
        <w:rPr>
          <w:rFonts w:cs="Arial"/>
        </w:rPr>
      </w:pPr>
      <w:r>
        <w:rPr>
          <w:rFonts w:cs="Arial"/>
        </w:rPr>
        <w:t xml:space="preserve">The goal of both HOME and CDBG is to attract clients across the spectrum of low-income levels.  A total of 16 units were completed.  The low to moderate income individuals have been reached through newspaper advertisements, flyers, Facebook posts, lenders, and real estate referrals.  The extremely low incomes have been more difficult to reach across both programs.  This program year, the PR 23 reflects that the HOME program was able to improve and reach three extremely low-income clients and the CDBG program was able to reach three as well.  The city plans to continue to foster partnerships with Charleston Kanawha Housing, non-profit providers, and low-income providers to support these income levels. Working in collaboration with the local Continuum of Care, the City strives to meet the needs of those with disabilities and lower incomes through the provision of supportive services and rehabilitation.  Additionally, local non-profit service providers offer homelessness prevention and utility and rental assistance.  The Charleston Kanawha Housing Authority Annual Plan has included strategies to make modification to public housing based on the Section 504 Needs Assessment and apply for special-purpose vouchers targeted to families with disabilities, should they become available.  There are also efforts to develop buildings for particular resident groups, including persons with lower incomes and/or disabilities.    </w:t>
      </w:r>
    </w:p>
    <w:p w:rsidR="00FE3457" w:rsidRDefault="00FE3457" w14:paraId="7836CA9C" w14:textId="77777777">
      <w:pPr>
        <w:rPr>
          <w:rFonts w:cs="Arial"/>
        </w:rPr>
      </w:pPr>
    </w:p>
    <w:p w:rsidR="00FE3457" w:rsidRDefault="00FE3457" w14:paraId="140836A0" w14:textId="77777777">
      <w:pPr>
        <w:pStyle w:val="Heading2"/>
        <w:pageBreakBefore/>
        <w:rPr>
          <w:rFonts w:ascii="Calibri" w:hAnsi="Calibri"/>
          <w:i w:val="false"/>
        </w:rPr>
        <w:sectPr w:rsidR="00FE3457">
          <w:pgSz w:w="12240" w:h="15840" w:orient="portrait" w:code="1"/>
          <w:pgMar w:top="1440" w:right="1440" w:bottom="1440" w:left="1440" w:header="720" w:footer="720" w:gutter="0"/>
          <w:cols w:space="720"/>
          <w:docGrid w:linePitch="360"/>
        </w:sectPr>
      </w:pPr>
    </w:p>
    <w:bookmarkEnd w:id="1"/>
    <w:p w:rsidR="00FE3457" w:rsidRDefault="005268B9" w14:paraId="15A2B3FB" w14:textId="77777777">
      <w:pPr>
        <w:pStyle w:val="Heading2"/>
        <w:pageBreakBefore/>
        <w:widowControl w:val="false"/>
        <w:rPr>
          <w:rFonts w:ascii="Calibri" w:hAnsi="Calibri"/>
          <w:i w:val="false"/>
        </w:rPr>
      </w:pPr>
      <w:r>
        <w:rPr>
          <w:rFonts w:ascii="Calibri" w:hAnsi="Calibri"/>
          <w:i w:val="false"/>
        </w:rPr>
        <w:t>CR-25 - Homeless and Other Special Needs 91.220(d, e); 91.320(d, e); 91.520(c)</w:t>
      </w:r>
    </w:p>
    <w:p w:rsidR="00FE3457" w:rsidRDefault="005268B9" w14:paraId="25011F6A" w14:textId="77777777">
      <w:pPr>
        <w:keepNext/>
        <w:widowControl w:val="false"/>
        <w:rPr>
          <w:b/>
          <w:sz w:val="24"/>
          <w:szCs w:val="24"/>
        </w:rPr>
      </w:pPr>
      <w:r>
        <w:rPr>
          <w:b/>
          <w:sz w:val="24"/>
          <w:szCs w:val="24"/>
        </w:rPr>
        <w:t>Evaluate the jurisdiction’s progress in meeting its specific objectives for reducing and ending homelessness through:</w:t>
      </w:r>
    </w:p>
    <w:p w:rsidR="00FE3457" w:rsidRDefault="005268B9" w14:paraId="5A9F2F10" w14:textId="77777777">
      <w:pPr>
        <w:widowControl w:val="false"/>
        <w:rPr>
          <w:b/>
          <w:sz w:val="24"/>
          <w:szCs w:val="24"/>
        </w:rPr>
      </w:pPr>
      <w:r>
        <w:rPr>
          <w:b/>
          <w:sz w:val="24"/>
          <w:szCs w:val="24"/>
        </w:rPr>
        <w:t>Reaching out to homeless persons (especially unsheltered persons) and assessing their individual needs</w:t>
      </w:r>
    </w:p>
    <w:p>
      <w:pPr>
        <w:widowControl w:val="false"/>
        <w:spacing w:beforeAutospacing="true" w:afterAutospacing="true"/>
        <w:rPr>
          <w:rFonts w:cs="Arial"/>
        </w:rPr>
      </w:pPr>
      <w:r>
        <w:rPr>
          <w:rFonts w:cs="Arial"/>
        </w:rPr>
        <w:t xml:space="preserve">The City used its Community Development Block Grant funds and general funds to support local shelters and other non-profit organizations to provide case management, health care, and basic needs such as food, shelter, and clothing to the homeless. The City, local shelters, and non-profits, in conjunction with the Kanawha Valley Collective (KVC), worked to provide outreach services such as street outreach, mobile clinics, law enforcement assistance, case management, supportive couseling, life skills training, healthcare, education, employment training, childcare, and transportation for those experiencing homelessness. Through funding received from a Continuum of Care Homeless Management Information System (HMIS) grant, the KVC employs an HMIS Admin position.  This position, in addition to working to ensure quality and accuracy in data entry in the City of Charleston as well as the four county areas the local continuum serves, also works to identify and quantify the specific needs of those experiencing homelessness.  The HMIS Admin also holds weekly By Name List meetings where case managers from local shelters, non-profits, and housing providers meet to go over every individual or family on the By Name List, which lists individuals/families who are homeless and is sorted by SPDAT scores, to ensure that the most vulnerable participants are housed as quickly as possible.  </w:t>
      </w:r>
    </w:p>
    <w:p>
      <w:pPr>
        <w:widowControl w:val="false"/>
        <w:spacing w:beforeAutospacing="true" w:afterAutospacing="true"/>
        <w:rPr>
          <w:rFonts w:cs="Arial"/>
        </w:rPr>
      </w:pPr>
      <w:r>
        <w:rPr>
          <w:rFonts w:cs="Arial"/>
        </w:rPr>
        <w:t xml:space="preserve">The CoC's use of the VI-SPDAT as the coordinated assessment tool, as well as the centralized assessment process, allows the CoC to prioritize individuals and families in our area for housing and to best utilize the beds dedicated to individuals defined as chronically homeless. The Centralized Assessment Team, which is comprised of front-line staff, meets with all homeless participants at a centralized location to assess, divert, and/or refer to programs that best suit the needs, in order to get homeless clients housed. The CoC conducted one Point in Time count (January 2026), using trained data collectors who work in teams to target specific geographic regions and approach individuals and/or families experiencing homelessness.</w:t>
      </w:r>
    </w:p>
    <w:p w:rsidR="00FE3457" w:rsidRDefault="005268B9" w14:paraId="35ED882A" w14:textId="77777777">
      <w:pPr>
        <w:widowControl w:val="false"/>
        <w:rPr>
          <w:b/>
          <w:sz w:val="24"/>
          <w:szCs w:val="24"/>
        </w:rPr>
      </w:pPr>
      <w:r>
        <w:rPr>
          <w:b/>
          <w:sz w:val="24"/>
          <w:szCs w:val="24"/>
        </w:rPr>
        <w:t>Addressing the emergency shelter and transitional housing needs of homeless persons</w:t>
      </w:r>
    </w:p>
    <w:p>
      <w:pPr>
        <w:widowControl w:val="false"/>
        <w:spacing w:beforeAutospacing="true" w:afterAutospacing="true"/>
        <w:rPr>
          <w:rFonts w:cs="Arial"/>
        </w:rPr>
      </w:pPr>
      <w:r>
        <w:rPr>
          <w:rFonts w:cs="Arial"/>
        </w:rPr>
        <w:t xml:space="preserve">The City, local shelters, non-profits, and the Kanawha Valley Collective are always looking for ways to increase the supply of transitional and permanent supportive housing; to create relationships with local businesses and organizations for job training and referrals in order to provide the necessary income for those experiencing homelessness to be able to afford to move into transitional housing; and to provide much needed supportive services through case management, life skills training, healthcare, education, employment training, childcare, and transportation to allow the homeless to make the transition from being homeless to living in transitional and permanent housing.</w:t>
      </w:r>
    </w:p>
    <w:p>
      <w:pPr>
        <w:widowControl w:val="false"/>
        <w:spacing w:beforeAutospacing="true" w:afterAutospacing="true"/>
        <w:rPr>
          <w:rFonts w:cs="Arial"/>
        </w:rPr>
      </w:pPr>
      <w:r>
        <w:rPr>
          <w:rFonts w:cs="Arial"/>
        </w:rPr>
        <w:t xml:space="preserve">The City of Charleston provides the buildings used by local non-profits for two of the largest homeless shelters in the area and, through CDBG funds, provides assistance with funding for case management, utilities, maintenance, and other needs.</w:t>
      </w:r>
    </w:p>
    <w:p>
      <w:pPr>
        <w:widowControl w:val="false"/>
        <w:spacing w:beforeAutospacing="true" w:afterAutospacing="true"/>
        <w:rPr>
          <w:rFonts w:cs="Arial"/>
        </w:rPr>
      </w:pPr>
      <w:r>
        <w:rPr>
          <w:rFonts w:cs="Arial"/>
        </w:rPr>
        <w:t xml:space="preserve">The CoC's use of the VI-SPDAT as the coordinated assessment tool, as well as the larger centralized assessment process, allows the CoC to prioritize the most vulnerable individuals and families in our area for housing. This process also allows shelters to best utilize the beds dedicated to individuals defined as chronically homeless. The City also funds case management positions through the CDBG program. In January 2026, the CoC conducted one Point in Time count, using trained data collectors who work in teams to target specific geographic regions and approach individuals and/or families experiencing homelessness. </w:t>
      </w:r>
    </w:p>
    <w:p w:rsidR="00FE3457" w:rsidRDefault="005268B9" w14:paraId="5617E1D9" w14:textId="77777777">
      <w:pPr>
        <w:widowControl w:val="false"/>
        <w:rPr>
          <w:b/>
          <w:sz w:val="24"/>
          <w:szCs w:val="24"/>
        </w:rPr>
      </w:pPr>
      <w:r>
        <w:rPr>
          <w:b/>
          <w:sz w:val="24"/>
          <w:szCs w:val="24"/>
        </w:rPr>
        <w:t>Helping low-income individuals and families avoid becoming homeless, especially extremely low-income individuals and families and those who are:  likely to become homeless after being discharged from publicly funded institutions and systems of care (such as health care facilities, mental health facilities, foster care and other youth facilities, and corrections programs and institutions);  and,  receiving assistance from public or private agencies that address housing, health, social services, employment, e</w:t>
      </w:r>
      <w:r>
        <w:rPr>
          <w:b/>
          <w:sz w:val="24"/>
          <w:szCs w:val="24"/>
        </w:rPr>
        <w:t>ducation, or youth needs</w:t>
      </w:r>
    </w:p>
    <w:p>
      <w:pPr>
        <w:widowControl w:val="false"/>
        <w:spacing w:beforeAutospacing="true" w:afterAutospacing="true"/>
        <w:rPr>
          <w:rFonts w:cs="Arial"/>
        </w:rPr>
      </w:pPr>
      <w:r>
        <w:rPr>
          <w:rFonts w:cs="Arial"/>
        </w:rPr>
        <w:t xml:space="preserve">The City uses CDBG funds and, through the KVC, consults on how ESG funds are allocated to support local shelters and other non-profit organizations to help prevent homelessness for individuals and families with children who are at imminent risk of becoming homeless.</w:t>
      </w:r>
    </w:p>
    <w:p>
      <w:pPr>
        <w:widowControl w:val="false"/>
        <w:spacing w:beforeAutospacing="true" w:afterAutospacing="true"/>
        <w:rPr>
          <w:rFonts w:cs="Arial"/>
        </w:rPr>
      </w:pPr>
      <w:r>
        <w:rPr>
          <w:rFonts w:cs="Arial"/>
        </w:rPr>
        <w:t xml:space="preserve">The City’s housing rehabilitation program helps individuals who are at risk of becoming homeless to remain in their homes by providing materials and labor for repairs to ensure the home stays warm, safe, and dry.  This program allows comprehensive housing repairs up to approximately $25,000.  Local non-profits also provide homelessness prevention and Rapid Rehousing programs, which can provide counseling services and assistance with mortgage, rent, utilities, and legal needs.  Additional services provided include childcare, after-school programs, counseling, health care, substance abuse, mental health, and domestic violence services.  By providing such services at little or no charge to individuals and families at risk of becoming homeless, it allows program participants to redirect their limited financial resources to their necessary housing-related costs and can prevent them from becoming homeless.</w:t>
      </w:r>
    </w:p>
    <w:p>
      <w:pPr>
        <w:widowControl w:val="false"/>
        <w:spacing w:beforeAutospacing="true" w:afterAutospacing="true"/>
        <w:rPr>
          <w:rFonts w:cs="Arial"/>
        </w:rPr>
      </w:pPr>
      <w:r>
        <w:rPr>
          <w:rFonts w:cs="Arial"/>
        </w:rPr>
        <w:t xml:space="preserve">The City, shelters, and non-profits, in conjunction with the Kanawha Valley Collective, continue to utilize an early eviction alert system with public/private landlords to prevent homelessness and are educating the community regarding the issue of homelessness to include school-age children, youth, teens, families, domestic violence victims, veterans, and the elderly. </w:t>
      </w:r>
    </w:p>
    <w:p>
      <w:pPr>
        <w:widowControl w:val="false"/>
        <w:spacing w:beforeAutospacing="true" w:afterAutospacing="true"/>
        <w:rPr>
          <w:rFonts w:cs="Arial"/>
        </w:rPr>
      </w:pPr>
      <w:r>
        <w:rPr>
          <w:rFonts w:cs="Arial"/>
        </w:rPr>
        <w:t xml:space="preserve">CDBG funding for homeless prevention has proven invaluable for households who need short term assistance to avoid homelessness. Resources in the area include United Way’s 211, which provides referrals for households facing first time homelessness, WV Dept of Health &amp; Human Resources, which provides financial assistance to households facing eviction/homelessness and emergency utility assistance, and Legal Aid of WV, which provides legal assistance to individuals facing eviction.</w:t>
      </w:r>
    </w:p>
    <w:p w:rsidR="00FE3457" w:rsidRDefault="005268B9" w14:paraId="0AC9B145" w14:textId="77777777">
      <w:pPr>
        <w:widowControl w:val="false"/>
        <w:rPr>
          <w:b/>
          <w:sz w:val="24"/>
          <w:szCs w:val="24"/>
        </w:rPr>
      </w:pPr>
      <w:r>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pPr>
        <w:widowControl w:val="false"/>
        <w:spacing w:beforeAutospacing="true" w:afterAutospacing="true"/>
        <w:rPr>
          <w:rFonts w:cs="Arial"/>
        </w:rPr>
      </w:pPr>
      <w:r>
        <w:rPr>
          <w:rFonts w:cs="Arial"/>
        </w:rPr>
        <w:t xml:space="preserve">The City works with the KVC to develop strategies to house homeless persons as quickly as possible.  Some of the strategies include:</w:t>
      </w:r>
    </w:p>
    <w:p>
      <w:pPr>
        <w:widowControl w:val="false"/>
        <w:numPr>
          <w:ilvl w:val="0"/>
          <w:numId w:val="3"/>
        </w:numPr>
        <w:spacing w:beforeAutospacing="true" w:afterAutospacing="true"/>
        <w:rPr>
          <w:rFonts w:cs="Arial"/>
        </w:rPr>
      </w:pPr>
      <w:r>
        <w:rPr>
          <w:rFonts w:cs="Arial"/>
        </w:rPr>
        <w:t xml:space="preserve">directing CDBG funds to provide case management, utilities, maintenance, and other needs for shelters providing assistance to individuals and families who are homeless or fleeing domestic violence (including Veterans) and the only local shelter providing assistance for unaccompanied youth</w:t>
      </w:r>
    </w:p>
    <w:p>
      <w:pPr>
        <w:widowControl w:val="false"/>
        <w:numPr>
          <w:ilvl w:val="0"/>
          <w:numId w:val="3"/>
        </w:numPr>
        <w:spacing w:beforeAutospacing="true" w:afterAutospacing="true"/>
        <w:rPr>
          <w:rFonts w:cs="Arial"/>
        </w:rPr>
      </w:pPr>
      <w:r>
        <w:rPr>
          <w:rFonts w:cs="Arial"/>
        </w:rPr>
        <w:t xml:space="preserve">the payee program through Prestera and Synergy, which helps individuals and families pay their bills</w:t>
      </w:r>
    </w:p>
    <w:p>
      <w:pPr>
        <w:widowControl w:val="false"/>
        <w:numPr>
          <w:ilvl w:val="0"/>
          <w:numId w:val="3"/>
        </w:numPr>
        <w:spacing w:beforeAutospacing="true" w:afterAutospacing="true"/>
        <w:rPr>
          <w:rFonts w:cs="Arial"/>
        </w:rPr>
      </w:pPr>
      <w:r>
        <w:rPr>
          <w:rFonts w:cs="Arial"/>
        </w:rPr>
        <w:t xml:space="preserve">expanded Rapid Rehousing/Homelessness Prevention services</w:t>
      </w:r>
    </w:p>
    <w:p>
      <w:pPr>
        <w:widowControl w:val="false"/>
        <w:numPr>
          <w:ilvl w:val="0"/>
          <w:numId w:val="3"/>
        </w:numPr>
        <w:spacing w:beforeAutospacing="true" w:afterAutospacing="true"/>
        <w:rPr>
          <w:rFonts w:cs="Arial"/>
        </w:rPr>
      </w:pPr>
      <w:r>
        <w:rPr>
          <w:rFonts w:cs="Arial"/>
        </w:rPr>
        <w:t xml:space="preserve">State Opioid Response funds to help those with Opiate Use Disorders get rehoused quickly</w:t>
      </w:r>
    </w:p>
    <w:p>
      <w:pPr>
        <w:widowControl w:val="false"/>
        <w:numPr>
          <w:ilvl w:val="0"/>
          <w:numId w:val="3"/>
        </w:numPr>
        <w:spacing w:beforeAutospacing="true" w:afterAutospacing="true"/>
        <w:rPr>
          <w:rFonts w:cs="Arial"/>
        </w:rPr>
      </w:pPr>
      <w:r>
        <w:rPr>
          <w:rFonts w:cs="Arial"/>
        </w:rPr>
        <w:t xml:space="preserve">case managers at Housing First and Shelter + Care Programs</w:t>
      </w:r>
    </w:p>
    <w:p>
      <w:pPr>
        <w:widowControl w:val="false"/>
        <w:numPr>
          <w:ilvl w:val="0"/>
          <w:numId w:val="3"/>
        </w:numPr>
        <w:spacing w:beforeAutospacing="true" w:afterAutospacing="true"/>
        <w:rPr>
          <w:rFonts w:cs="Arial"/>
        </w:rPr>
      </w:pPr>
      <w:r>
        <w:rPr>
          <w:rFonts w:cs="Arial"/>
        </w:rPr>
        <w:t xml:space="preserve">aftercare services at emergency shelters and transitional housing facilities</w:t>
      </w:r>
    </w:p>
    <w:p>
      <w:pPr>
        <w:widowControl w:val="false"/>
        <w:numPr>
          <w:ilvl w:val="0"/>
          <w:numId w:val="3"/>
        </w:numPr>
        <w:spacing w:beforeAutospacing="true" w:afterAutospacing="true"/>
        <w:rPr>
          <w:rFonts w:cs="Arial"/>
        </w:rPr>
      </w:pPr>
      <w:r>
        <w:rPr>
          <w:rFonts w:cs="Arial"/>
        </w:rPr>
        <w:t xml:space="preserve">advocating for SOAR training for case workers who help participants apply for SSI, SSDI, and other financial assistance programs</w:t>
      </w:r>
    </w:p>
    <w:p>
      <w:pPr>
        <w:widowControl w:val="false"/>
        <w:numPr>
          <w:ilvl w:val="0"/>
          <w:numId w:val="3"/>
        </w:numPr>
        <w:spacing w:beforeAutospacing="true" w:afterAutospacing="true"/>
        <w:rPr>
          <w:rFonts w:cs="Arial"/>
        </w:rPr>
      </w:pPr>
      <w:r>
        <w:rPr>
          <w:rFonts w:cs="Arial"/>
        </w:rPr>
        <w:t xml:space="preserve">matching individuals who need permanent supportive housing and providing necessary services</w:t>
      </w:r>
    </w:p>
    <w:p>
      <w:pPr>
        <w:widowControl w:val="false"/>
        <w:numPr>
          <w:ilvl w:val="0"/>
          <w:numId w:val="3"/>
        </w:numPr>
        <w:spacing w:beforeAutospacing="true" w:afterAutospacing="true"/>
        <w:rPr>
          <w:rFonts w:cs="Arial"/>
        </w:rPr>
      </w:pPr>
      <w:r>
        <w:rPr>
          <w:rFonts w:cs="Arial"/>
        </w:rPr>
        <w:t xml:space="preserve">supportive service agencies creating relationships with local landlords in order to help those at-risk of homelessness to avoid eviction</w:t>
      </w:r>
    </w:p>
    <w:p>
      <w:pPr>
        <w:widowControl w:val="false"/>
        <w:numPr>
          <w:ilvl w:val="0"/>
          <w:numId w:val="3"/>
        </w:numPr>
        <w:spacing w:beforeAutospacing="true" w:afterAutospacing="true"/>
        <w:rPr>
          <w:rFonts w:cs="Arial"/>
        </w:rPr>
      </w:pPr>
      <w:r>
        <w:rPr>
          <w:rFonts w:cs="Arial"/>
        </w:rPr>
        <w:t xml:space="preserve">working with local churches for referrals</w:t>
      </w:r>
    </w:p>
    <w:p>
      <w:pPr>
        <w:widowControl w:val="false"/>
        <w:spacing w:beforeAutospacing="true" w:afterAutospacing="true"/>
        <w:rPr>
          <w:rFonts w:cs="Arial"/>
        </w:rPr>
      </w:pPr>
      <w:r>
        <w:rPr>
          <w:rFonts w:cs="Arial"/>
        </w:rPr>
        <w:t xml:space="preserve">The KVC worked with the appropriate local and state government agencies to ensure that a discharge policy for persons leaving publicly funded institutions or systems of care is being implemented to prevent the discharge of persons from immediately resulting in homelessness and requiring assistance from homeless programs.  </w:t>
      </w:r>
    </w:p>
    <w:p>
      <w:pPr>
        <w:widowControl w:val="false"/>
        <w:spacing w:beforeAutospacing="true" w:afterAutospacing="true"/>
        <w:rPr>
          <w:rFonts w:cs="Arial"/>
        </w:rPr>
      </w:pPr>
      <w:r>
        <w:rPr>
          <w:rFonts w:cs="Arial"/>
        </w:rPr>
        <w:t xml:space="preserve">The coordinated assessment tool VI-SPDAT and the full assessment SPDAT assisted the Centralized Assessment Team members and service providers in identifying clients in need of benefits, while also ensuring that those who had income had it recorded in HMIS accurately. The assessment also helped plan the type of income that best served the individual. </w:t>
      </w:r>
    </w:p>
    <w:p w:rsidR="00FE3457" w:rsidRDefault="00FE3457" w14:paraId="14A57484" w14:textId="77777777">
      <w:pPr>
        <w:widowControl w:val="false"/>
        <w:rPr>
          <w:rFonts w:cs="Arial"/>
          <w:szCs w:val="26"/>
        </w:rPr>
      </w:pPr>
    </w:p>
    <w:p w:rsidR="00FE3457" w:rsidRDefault="005268B9" w14:paraId="38E3F49D" w14:textId="77777777">
      <w:pPr>
        <w:pStyle w:val="Heading2"/>
        <w:pageBreakBefore/>
        <w:widowControl w:val="false"/>
        <w:rPr>
          <w:rFonts w:ascii="Calibri" w:hAnsi="Calibri"/>
          <w:i w:val="false"/>
        </w:rPr>
      </w:pPr>
      <w:r>
        <w:rPr>
          <w:rFonts w:ascii="Calibri" w:hAnsi="Calibri"/>
          <w:i w:val="false"/>
        </w:rPr>
        <w:t>CR-30 - Public Housing 91.220(h); 91.320(j)</w:t>
      </w:r>
    </w:p>
    <w:p w:rsidR="00FE3457" w:rsidRDefault="005268B9" w14:paraId="1A8DBA11" w14:textId="77777777">
      <w:pPr>
        <w:keepNext/>
        <w:widowControl w:val="false"/>
        <w:rPr>
          <w:b/>
          <w:sz w:val="24"/>
          <w:szCs w:val="24"/>
        </w:rPr>
      </w:pPr>
      <w:r>
        <w:rPr>
          <w:b/>
          <w:sz w:val="24"/>
          <w:szCs w:val="24"/>
        </w:rPr>
        <w:t>Actions taken to address the needs of public housing</w:t>
      </w:r>
    </w:p>
    <w:p>
      <w:pPr>
        <w:keepNext/>
        <w:widowControl w:val="false"/>
        <w:spacing w:beforeAutospacing="true" w:afterAutospacing="true"/>
        <w:rPr>
          <w:rFonts w:cs="Arial"/>
        </w:rPr>
      </w:pPr>
      <w:r>
        <w:rPr>
          <w:rFonts w:cs="Arial"/>
        </w:rPr>
        <w:t xml:space="preserve">The Charleston-Kanawha Housing Authority (CKHA) has worked with the City of Charleston and the Mayor's Office of Economic and Community Development to completely redevelop two of the oldest public housing communities in the City of Charleston (Washington Manor &amp; Little Page Terrace). Since 2007, through this collaborative effort, 471 aged and distressed units have been replaced with 396 units of new construction through the mixed finance Low-Income Housing Tax Credit program.  All planned redevelopment has been completed and units are occupied.  Additionally, the City has partnered with the Family Self-Sufficiency Program and the Housing Choice Voucher program to offer seminars and information to potential home buyers. </w:t>
      </w:r>
    </w:p>
    <w:p w:rsidR="00FE3457" w:rsidRDefault="005268B9" w14:paraId="0727B3E0" w14:textId="77777777">
      <w:pPr>
        <w:widowControl w:val="false"/>
        <w:rPr>
          <w:b/>
          <w:sz w:val="24"/>
          <w:szCs w:val="24"/>
        </w:rPr>
      </w:pPr>
      <w:r>
        <w:rPr>
          <w:b/>
          <w:sz w:val="24"/>
          <w:szCs w:val="24"/>
        </w:rPr>
        <w:t>Actions taken to encourage public housing residents to become more involved in management and participate in homeownership</w:t>
      </w:r>
    </w:p>
    <w:p>
      <w:pPr>
        <w:widowControl w:val="false"/>
        <w:spacing w:beforeAutospacing="true" w:afterAutospacing="true"/>
        <w:rPr>
          <w:rFonts w:cs="Arial"/>
        </w:rPr>
      </w:pPr>
      <w:r>
        <w:rPr>
          <w:rFonts w:cs="Arial"/>
        </w:rPr>
        <w:t xml:space="preserve">At present, a Public Housing Resident is appointed and serves on the housing authority's Board of Commissioners, which sets agency policy and determines the goals and strategies of the authority. Residents may also participate in the Family Self-Sufficiency program which encourages both work and financial independence to pursue homeownership. Eligible applicants are processed through the HOME program offered by the Mayor's Office of Economic and Community Development.</w:t>
      </w:r>
    </w:p>
    <w:p w:rsidR="00FE3457" w:rsidRDefault="005268B9" w14:paraId="49785CC1" w14:textId="77777777">
      <w:pPr>
        <w:widowControl w:val="false"/>
        <w:rPr>
          <w:b/>
          <w:sz w:val="24"/>
          <w:szCs w:val="24"/>
        </w:rPr>
      </w:pPr>
      <w:r>
        <w:rPr>
          <w:b/>
          <w:sz w:val="24"/>
          <w:szCs w:val="24"/>
        </w:rPr>
        <w:t>Actions taken to provide assistance to troubled PHAs</w:t>
      </w:r>
    </w:p>
    <w:p>
      <w:pPr>
        <w:widowControl w:val="false"/>
        <w:spacing w:beforeAutospacing="true" w:afterAutospacing="true"/>
        <w:rPr>
          <w:rFonts w:cs="Arial"/>
        </w:rPr>
      </w:pPr>
      <w:r>
        <w:rPr>
          <w:rFonts w:cs="Arial"/>
        </w:rPr>
        <w:t xml:space="preserve">In 2019, Charleston-Kanawha Housing Authority was rated by HUD as a Standard Performer on all key management categories.  The assessment from 2019 was carried over in 2020 and 2021 due to Covid-19.  In 2021 CKHA was designated by HUD as a Moving to Work Agency (MTW) which currently provides exemptions from all annual assessments and this designation continued through the 2025 Fiscal Year.</w:t>
      </w:r>
    </w:p>
    <w:p w:rsidR="00FE3457" w:rsidRDefault="005268B9" w14:paraId="3FA70CC3" w14:textId="77777777">
      <w:pPr>
        <w:pStyle w:val="Heading2"/>
        <w:pageBreakBefore/>
        <w:widowControl w:val="false"/>
        <w:rPr>
          <w:rFonts w:ascii="Calibri" w:hAnsi="Calibri"/>
          <w:i w:val="false"/>
        </w:rPr>
      </w:pPr>
      <w:r>
        <w:rPr>
          <w:rFonts w:ascii="Calibri" w:hAnsi="Calibri"/>
          <w:i w:val="false"/>
        </w:rPr>
        <w:t>CR-35 - Other Actions 91.220(j)-(k); 91.320(i)-(j)</w:t>
      </w:r>
    </w:p>
    <w:p w:rsidR="00FE3457" w:rsidRDefault="005268B9" w14:paraId="2CA14264" w14:textId="77777777">
      <w:pPr>
        <w:widowControl w:val="false"/>
        <w:rPr>
          <w:b/>
          <w:sz w:val="24"/>
          <w:szCs w:val="24"/>
        </w:rPr>
      </w:pPr>
      <w:r>
        <w:rPr>
          <w:b/>
          <w:sz w:val="24"/>
          <w:szCs w:val="24"/>
        </w:rPr>
        <w:t>Actions taken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 91.220 (j); 91.320 (i)</w:t>
      </w:r>
    </w:p>
    <w:p>
      <w:pPr>
        <w:widowControl w:val="false"/>
        <w:spacing w:beforeAutospacing="true" w:afterAutospacing="true"/>
        <w:rPr>
          <w:rFonts w:cs="Arial"/>
        </w:rPr>
      </w:pPr>
      <w:r>
        <w:rPr>
          <w:rFonts w:cs="Arial"/>
        </w:rPr>
        <w:t xml:space="preserve">A new zoning ordinance (Sec. 26) of the City of Charleston now allows for the combination of traditional narrow lots in order to allow the use of non-conforming vacant lots for added housing development.  Also, residents may use ½ of alley ways behind their property in their calculations for extending the footprint of their principal residence.  During redevelopment of non-conforming lots, code allows for setbacks and side setbacks to be constructed in patterns that mirror the surrounding housing without a zoning variance.  </w:t>
      </w:r>
    </w:p>
    <w:p>
      <w:pPr>
        <w:widowControl w:val="false"/>
        <w:spacing w:beforeAutospacing="true" w:afterAutospacing="true"/>
        <w:rPr>
          <w:rFonts w:cs="Arial"/>
        </w:rPr>
      </w:pPr>
      <w:r>
        <w:rPr>
          <w:rFonts w:cs="Arial"/>
        </w:rPr>
        <w:t xml:space="preserve">The City of Charleston’s Land Reuse Agency continues to facilitate redevelopment of tax-delinquent, abandoned or unwanted structures (namely houses) as a way to stabilize distressed LMI neighborhoods in the City and to increase the availability of safe, affordable housing.</w:t>
      </w:r>
    </w:p>
    <w:p w:rsidR="00FE3457" w:rsidRDefault="005268B9" w14:paraId="2724A7F4" w14:textId="77777777">
      <w:pPr>
        <w:widowControl w:val="false"/>
        <w:rPr>
          <w:b/>
          <w:sz w:val="24"/>
          <w:szCs w:val="24"/>
        </w:rPr>
      </w:pPr>
      <w:r>
        <w:rPr>
          <w:b/>
          <w:sz w:val="24"/>
          <w:szCs w:val="24"/>
        </w:rPr>
        <w:t>Actions taken to address obstacles to meeting underserved needs.  91.220(k); 91.320(j)</w:t>
      </w:r>
    </w:p>
    <w:p>
      <w:pPr>
        <w:widowControl w:val="false"/>
        <w:spacing w:beforeAutospacing="true" w:afterAutospacing="true"/>
        <w:rPr>
          <w:rFonts w:cs="Arial"/>
        </w:rPr>
      </w:pPr>
      <w:r>
        <w:rPr>
          <w:rFonts w:cs="Arial"/>
        </w:rPr>
        <w:t xml:space="preserve">The City of Charleston continues to address obstacles to meeting the needs of the underserved by providing programs designed to eliminate barriers.   The home buyer purchase program provides funds for down payments and closing costs to allow clients who meet the income requirements to purchase housing, which increases the buying power of the client and allows for the building of equity over time.   The Homeowner Rehabilitation program provides low cost or no cost assistance with property maintenance issues, which provides home stability and allows owners to continue to occupy homes that would otherwise become unihabitable.  The City also participates in the public housing voucher program, which provides voucher assistance to make housing payments.  Additionally, Community Housing Development Organizations are supported through funding and technical assistance to offer credit counseling to challenged borrowers.   CDBG funds also provide day care and after school programs for at risk youth, medical care, mental health services, job training, substance abuse counseling, food programs, and shelter for Veterans and those in need of emergency shelter or transitional housing. The City continues to partner with the Charleston Urban Renewal Authority (CURA) on to encourage the underserved to rehabilitate or own homes in a specific distressed low to moderate neighborhood on the City’s West Side. </w:t>
      </w:r>
    </w:p>
    <w:p w:rsidR="00FE3457" w:rsidRDefault="005268B9" w14:paraId="32226AC3" w14:textId="77777777">
      <w:pPr>
        <w:widowControl w:val="false"/>
        <w:rPr>
          <w:b/>
          <w:sz w:val="24"/>
          <w:szCs w:val="24"/>
        </w:rPr>
      </w:pPr>
      <w:r>
        <w:rPr>
          <w:b/>
          <w:sz w:val="24"/>
          <w:szCs w:val="24"/>
        </w:rPr>
        <w:t>Actions taken to reduce lead-based paint hazards. 91.220(k); 91.320(j)</w:t>
      </w:r>
    </w:p>
    <w:p>
      <w:pPr>
        <w:widowControl w:val="false"/>
        <w:spacing w:beforeAutospacing="true" w:afterAutospacing="true"/>
        <w:rPr>
          <w:rFonts w:cs="Arial"/>
        </w:rPr>
      </w:pPr>
      <w:r>
        <w:rPr>
          <w:rFonts w:cs="Arial"/>
        </w:rPr>
        <w:t xml:space="preserve">All City of Charleston MOECD housing projects (Home Blend and Rehabilitation) have been evaluated for lead based paint hazards in compliance with HUD 24 CFR Part 35. The following is a breakdown of common practices of compliance regarding CDBG and Home funded programs by our office:</w:t>
      </w:r>
    </w:p>
    <w:p>
      <w:pPr>
        <w:widowControl w:val="false"/>
        <w:spacing w:beforeAutospacing="true" w:afterAutospacing="true"/>
        <w:rPr>
          <w:rFonts w:cs="Arial"/>
        </w:rPr>
      </w:pPr>
      <w:r>
        <w:rPr>
          <w:rFonts w:cs="Arial"/>
          <w:u w:val="single"/>
        </w:rPr>
        <w:t xml:space="preserve">Home Blend:</w:t>
      </w:r>
    </w:p>
    <w:p>
      <w:pPr>
        <w:widowControl w:val="false"/>
        <w:numPr>
          <w:ilvl w:val="0"/>
          <w:numId w:val="3"/>
        </w:numPr>
        <w:spacing w:beforeAutospacing="true" w:afterAutospacing="true"/>
        <w:rPr>
          <w:rFonts w:cs="Arial"/>
        </w:rPr>
      </w:pPr>
      <w:r>
        <w:rPr>
          <w:rFonts w:cs="Arial"/>
        </w:rPr>
        <w:t xml:space="preserve">Each Home Blend Program client is provided with an EPA approved lead hazard information packet  </w:t>
      </w:r>
    </w:p>
    <w:p>
      <w:pPr>
        <w:widowControl w:val="false"/>
        <w:numPr>
          <w:ilvl w:val="0"/>
          <w:numId w:val="3"/>
        </w:numPr>
        <w:spacing w:beforeAutospacing="true" w:afterAutospacing="true"/>
        <w:rPr>
          <w:rFonts w:cs="Arial"/>
        </w:rPr>
      </w:pPr>
      <w:r>
        <w:rPr>
          <w:rFonts w:cs="Arial"/>
        </w:rPr>
        <w:t xml:space="preserve">Each Home Blend Program client must acknowledge receiving a “Lead Warning Statement” and disclosure requirements of a “Notification of Lead Based Paint” through their signature on the appropriate form(s)</w:t>
      </w:r>
    </w:p>
    <w:p>
      <w:pPr>
        <w:widowControl w:val="false"/>
        <w:numPr>
          <w:ilvl w:val="0"/>
          <w:numId w:val="3"/>
        </w:numPr>
        <w:spacing w:beforeAutospacing="true" w:afterAutospacing="true"/>
        <w:rPr>
          <w:rFonts w:cs="Arial"/>
        </w:rPr>
      </w:pPr>
      <w:r>
        <w:rPr>
          <w:rFonts w:cs="Arial"/>
        </w:rPr>
        <w:t xml:space="preserve">Areas of dilapidated paint are recognized for repair during the HUD Section 8 Housing Quality inspection (primarily in pre 1978 constructed homes but not limited to same) </w:t>
      </w:r>
    </w:p>
    <w:p>
      <w:pPr>
        <w:widowControl w:val="false"/>
        <w:numPr>
          <w:ilvl w:val="0"/>
          <w:numId w:val="3"/>
        </w:numPr>
        <w:spacing w:beforeAutospacing="true" w:afterAutospacing="true"/>
        <w:rPr>
          <w:rFonts w:cs="Arial"/>
        </w:rPr>
      </w:pPr>
      <w:r>
        <w:rPr>
          <w:rFonts w:cs="Arial"/>
        </w:rPr>
        <w:t xml:space="preserve">Lead Safe Work Practices are recommended in writing for all repairs of dilapidated paint surfaces within this and all programs </w:t>
      </w:r>
    </w:p>
    <w:p>
      <w:pPr>
        <w:widowControl w:val="false"/>
        <w:spacing w:beforeAutospacing="true" w:afterAutospacing="true"/>
        <w:rPr>
          <w:rFonts w:cs="Arial"/>
        </w:rPr>
      </w:pPr>
      <w:r>
        <w:rPr>
          <w:rFonts w:cs="Arial"/>
          <w:u w:val="single"/>
        </w:rPr>
        <w:t xml:space="preserve">CORP Rehabilitation:</w:t>
      </w:r>
    </w:p>
    <w:p>
      <w:pPr>
        <w:widowControl w:val="false"/>
        <w:numPr>
          <w:ilvl w:val="0"/>
          <w:numId w:val="3"/>
        </w:numPr>
        <w:spacing w:beforeAutospacing="true" w:afterAutospacing="true"/>
        <w:rPr>
          <w:rFonts w:cs="Arial"/>
        </w:rPr>
      </w:pPr>
      <w:r>
        <w:rPr>
          <w:rFonts w:cs="Arial"/>
        </w:rPr>
        <w:t xml:space="preserve">Each Rehabilitation Program client is provided with an EPA approved lead hazard information packet</w:t>
      </w:r>
    </w:p>
    <w:p>
      <w:pPr>
        <w:widowControl w:val="false"/>
        <w:numPr>
          <w:ilvl w:val="0"/>
          <w:numId w:val="3"/>
        </w:numPr>
        <w:spacing w:beforeAutospacing="true" w:afterAutospacing="true"/>
        <w:rPr>
          <w:rFonts w:cs="Arial"/>
        </w:rPr>
      </w:pPr>
      <w:r>
        <w:rPr>
          <w:rFonts w:cs="Arial"/>
        </w:rPr>
        <w:t xml:space="preserve">Each Rehabilitation Program client’s home is tested in its entirety (with emphasis on substrates being disturbed during program renovation work activities) and lead hazard areas are identified  </w:t>
      </w:r>
    </w:p>
    <w:p>
      <w:pPr>
        <w:widowControl w:val="false"/>
        <w:numPr>
          <w:ilvl w:val="0"/>
          <w:numId w:val="3"/>
        </w:numPr>
        <w:spacing w:beforeAutospacing="true" w:afterAutospacing="true"/>
        <w:rPr>
          <w:rFonts w:cs="Arial"/>
        </w:rPr>
      </w:pPr>
      <w:r>
        <w:rPr>
          <w:rFonts w:cs="Arial"/>
        </w:rPr>
        <w:t xml:space="preserve">Each Rehabilitation Program client is provided with a complete listing of lead based paint test results derived and prepared by a qualified provider (currently Pinnacle Consultants of Hurricane West Virginia) identifying lead based paint hazards and includes (but is not limited to) future proper maintenance and care of identified lead based paint areas by the homeowner   </w:t>
      </w:r>
    </w:p>
    <w:p>
      <w:pPr>
        <w:widowControl w:val="false"/>
        <w:numPr>
          <w:ilvl w:val="0"/>
          <w:numId w:val="3"/>
        </w:numPr>
        <w:spacing w:beforeAutospacing="true" w:afterAutospacing="true"/>
        <w:rPr>
          <w:rFonts w:cs="Arial"/>
        </w:rPr>
      </w:pPr>
      <w:r>
        <w:rPr>
          <w:rFonts w:cs="Arial"/>
        </w:rPr>
        <w:t xml:space="preserve">Each Rehabilitation client must acknowledge receiving a “Lead Warning Statement” and disclosure requirements of a “Lead Disclosure Statement” through their signature on the appropriate form(s)</w:t>
      </w:r>
    </w:p>
    <w:p>
      <w:pPr>
        <w:widowControl w:val="false"/>
        <w:numPr>
          <w:ilvl w:val="0"/>
          <w:numId w:val="3"/>
        </w:numPr>
        <w:spacing w:beforeAutospacing="true" w:afterAutospacing="true"/>
        <w:rPr>
          <w:rFonts w:cs="Arial"/>
        </w:rPr>
      </w:pPr>
      <w:r>
        <w:rPr>
          <w:rFonts w:cs="Arial"/>
        </w:rPr>
        <w:t xml:space="preserve">As per requirements by HUD, State, and local authorities respectively - all Rehabilitation Program work related activities are performed by qualified contractors trained and in possession of current EPA lead Renovation, Repair, and Painting (RRP) certification(s) utilizing Lead Safe Work Practices  </w:t>
      </w:r>
    </w:p>
    <w:p>
      <w:pPr>
        <w:widowControl w:val="false"/>
        <w:numPr>
          <w:ilvl w:val="0"/>
          <w:numId w:val="3"/>
        </w:numPr>
        <w:spacing w:beforeAutospacing="true" w:afterAutospacing="true"/>
        <w:rPr>
          <w:rFonts w:cs="Arial"/>
        </w:rPr>
      </w:pPr>
      <w:r>
        <w:rPr>
          <w:rFonts w:cs="Arial"/>
        </w:rPr>
        <w:t xml:space="preserve">Although not required, Lead Based Paint Safe Work Practices are strongly encouraged when performing renovation activities in homes constructed post 1978</w:t>
      </w:r>
    </w:p>
    <w:p>
      <w:pPr>
        <w:widowControl w:val="false"/>
        <w:spacing w:beforeAutospacing="true" w:afterAutospacing="true"/>
        <w:rPr>
          <w:rFonts w:cs="Arial"/>
        </w:rPr>
      </w:pPr>
      <w:r>
        <w:rPr>
          <w:rFonts w:cs="Arial"/>
        </w:rPr>
        <w:t xml:space="preserve">Appropriate Lead Compliance Inspections are performed at the completion of renovation work in all Rehabilitation Program projects in homes constructed before 1978 and identified as having Lead Based Paint Hazards.</w:t>
      </w:r>
    </w:p>
    <w:p>
      <w:pPr>
        <w:widowControl w:val="false"/>
        <w:spacing w:beforeAutospacing="true" w:afterAutospacing="true"/>
        <w:rPr>
          <w:rFonts w:cs="Arial"/>
        </w:rPr>
      </w:pPr>
      <w:r>
        <w:rPr>
          <w:rFonts w:cs="Arial"/>
        </w:rPr>
        <w:t xml:space="preserve">The City of Charleston continues to evaluate all programs to ensure compliance with regulations pertaining to reducing lead base paint hazards with respect to  91.220(K); 91.320(J).</w:t>
      </w:r>
    </w:p>
    <w:p w:rsidR="00FE3457" w:rsidRDefault="005268B9" w14:paraId="3378CA1E" w14:textId="77777777">
      <w:pPr>
        <w:widowControl w:val="false"/>
        <w:rPr>
          <w:b/>
          <w:sz w:val="24"/>
          <w:szCs w:val="24"/>
        </w:rPr>
      </w:pPr>
      <w:r>
        <w:rPr>
          <w:b/>
          <w:sz w:val="24"/>
          <w:szCs w:val="24"/>
        </w:rPr>
        <w:t>Actions taken to reduce the number of poverty-level families. 91.220(k); 91.320(j)</w:t>
      </w:r>
    </w:p>
    <w:p>
      <w:pPr>
        <w:widowControl w:val="false"/>
        <w:spacing w:beforeAutospacing="true" w:afterAutospacing="true"/>
        <w:rPr>
          <w:rFonts w:cs="Arial"/>
        </w:rPr>
      </w:pPr>
      <w:r>
        <w:rPr>
          <w:rFonts w:cs="Arial"/>
        </w:rPr>
        <w:t xml:space="preserve">The City’s first-time homebuyer program has the greatest direct impact by  providing the opportunity for 10 families to move out of poverty. The program creates wealth in the form of personal investment by allowing the client to build equity in real estate over time.  </w:t>
      </w:r>
    </w:p>
    <w:p>
      <w:pPr>
        <w:widowControl w:val="false"/>
        <w:spacing w:beforeAutospacing="true" w:afterAutospacing="true"/>
        <w:rPr>
          <w:rFonts w:cs="Arial"/>
        </w:rPr>
      </w:pPr>
      <w:r>
        <w:rPr>
          <w:rFonts w:cs="Arial"/>
        </w:rPr>
        <w:t xml:space="preserve">Activities funded through the CDBG program also work to reduce the number of poverty-level families.  Day cares and after school programs allow low income parents to pursue educational opportunities and/or work while knowing their children are well cared for and safe.  Funds allocated to substance abuse programs help addicts achieve recovery and transition to becoming successful contributors to society.  Funds allocated for training programs help residents gain the skills necessary for employment and help boost the earning potential of workers.  Shelter for the homeless, victims of domestic violence, and unaccompanied youth allow residents access to safe, free shelter facilities while receiving access to services to assist them in finding affordable long-term housing for the future.  Other funded CDBG projects provide free meals or access to food pantries in order to end food insecurity among individuals or families in poverty.  Each of the funded CDBG programs is a crucial piece of the puzzle that is needed to reduce poverty.</w:t>
      </w:r>
    </w:p>
    <w:p w:rsidR="00FE3457" w:rsidRDefault="005268B9" w14:paraId="4E72C5AB" w14:textId="77777777">
      <w:pPr>
        <w:widowControl w:val="false"/>
        <w:rPr>
          <w:b/>
          <w:sz w:val="24"/>
          <w:szCs w:val="24"/>
        </w:rPr>
      </w:pPr>
      <w:r>
        <w:rPr>
          <w:b/>
          <w:sz w:val="24"/>
          <w:szCs w:val="24"/>
        </w:rPr>
        <w:t>Actions taken to develop institutional structure. 91.220(k); 91.320(j)</w:t>
      </w:r>
    </w:p>
    <w:p>
      <w:pPr>
        <w:widowControl w:val="false"/>
        <w:spacing w:beforeAutospacing="true" w:afterAutospacing="true"/>
        <w:rPr>
          <w:rFonts w:cs="Arial"/>
        </w:rPr>
      </w:pPr>
      <w:r>
        <w:rPr>
          <w:rFonts w:cs="Arial"/>
        </w:rPr>
        <w:t xml:space="preserve">The Mayor's Office of Economic and Community Development continues to improve its communication with City departments, subrecipients, community members, and housing groups that receive Community Development Block Grant and HOME funds.  The Mayor created a Neighborhood Strategic Revitalization Initiative that includes changes to the abandoned/vacant structure ordinance, establishing a land reuse agency ordinance and a zoning overlay.  Additionally, MOECD participates with community-wide collaboratives including the Kanawha Valley Collective (homelessness), Charleston Urban Renewal Authority (housing repair and acquisition), and various neighborhood groups/associations.</w:t>
      </w:r>
    </w:p>
    <w:p w:rsidR="00FE3457" w:rsidRDefault="005268B9" w14:paraId="76FEE29A" w14:textId="77777777">
      <w:pPr>
        <w:widowControl w:val="false"/>
        <w:rPr>
          <w:b/>
          <w:sz w:val="24"/>
          <w:szCs w:val="24"/>
        </w:rPr>
      </w:pPr>
      <w:r>
        <w:rPr>
          <w:b/>
          <w:sz w:val="24"/>
          <w:szCs w:val="24"/>
        </w:rPr>
        <w:t>Actions taken to enhance coordination between public and private housing and social service agencies. 91.220(k); 91.320(j)</w:t>
      </w:r>
    </w:p>
    <w:p>
      <w:pPr>
        <w:widowControl w:val="false"/>
        <w:spacing w:beforeAutospacing="true" w:afterAutospacing="true"/>
        <w:rPr>
          <w:rFonts w:cs="Arial"/>
        </w:rPr>
      </w:pPr>
      <w:r>
        <w:rPr>
          <w:rFonts w:cs="Arial"/>
        </w:rPr>
        <w:t xml:space="preserve">The Mayor's Office of Economic and Community Development (MOECD) also focused on enhancing housing strategy collaboration among both internal City departments and subrecipients that receive Community Development Block Grant and HOME funds.  MOECD facilitated or participated regularly in several community-wide collaboratives.  </w:t>
      </w:r>
    </w:p>
    <w:p w:rsidR="00FE3457" w:rsidRDefault="005268B9" w14:paraId="59384A12" w14:textId="77777777">
      <w:pPr>
        <w:widowControl w:val="false"/>
        <w:rPr>
          <w:b/>
          <w:sz w:val="24"/>
          <w:szCs w:val="24"/>
        </w:rPr>
      </w:pPr>
      <w:r>
        <w:rPr>
          <w:b/>
          <w:sz w:val="24"/>
          <w:szCs w:val="24"/>
        </w:rPr>
        <w:t>Identify actions taken to overcome the effects of any impediments identified in the jurisdictions analysis of impediments to fair housing choice.  91.520(a)</w:t>
      </w:r>
    </w:p>
    <w:p>
      <w:pPr>
        <w:widowControl w:val="false"/>
        <w:numPr>
          <w:ilvl w:val="0"/>
          <w:numId w:val="3"/>
        </w:numPr>
        <w:spacing w:beforeAutospacing="true" w:afterAutospacing="true"/>
        <w:rPr>
          <w:rFonts w:cs="Arial"/>
        </w:rPr>
      </w:pPr>
      <w:r>
        <w:rPr>
          <w:rFonts w:cs="Arial"/>
        </w:rPr>
        <w:t xml:space="preserve">MOECD funding increased the availability of decent, safe, sound, and affordable housing in the City of Charleston for low and moderate-income households. The City’s HOME program provided assistance for households who are cost overburdened, particularly those earning less than 50% of median family income.</w:t>
      </w:r>
    </w:p>
    <w:p>
      <w:pPr>
        <w:widowControl w:val="false"/>
        <w:numPr>
          <w:ilvl w:val="0"/>
          <w:numId w:val="3"/>
        </w:numPr>
        <w:spacing w:beforeAutospacing="true" w:afterAutospacing="true"/>
        <w:rPr>
          <w:rFonts w:cs="Arial"/>
        </w:rPr>
      </w:pPr>
      <w:r>
        <w:rPr>
          <w:rFonts w:cs="Arial"/>
        </w:rPr>
        <w:t xml:space="preserve">Provided outreach for female-headed households with children living at or below the poverty line.</w:t>
      </w:r>
    </w:p>
    <w:p>
      <w:pPr>
        <w:widowControl w:val="false"/>
        <w:numPr>
          <w:ilvl w:val="0"/>
          <w:numId w:val="3"/>
        </w:numPr>
        <w:spacing w:beforeAutospacing="true" w:afterAutospacing="true"/>
        <w:rPr>
          <w:rFonts w:cs="Arial"/>
        </w:rPr>
      </w:pPr>
      <w:r>
        <w:rPr>
          <w:rFonts w:cs="Arial"/>
        </w:rPr>
        <w:t xml:space="preserve">Increased the availability of accessible housing that is decent, safe, sound, and affordable for persons with disabilities in the City of Charleston.</w:t>
      </w:r>
    </w:p>
    <w:p>
      <w:pPr>
        <w:widowControl w:val="false"/>
        <w:numPr>
          <w:ilvl w:val="0"/>
          <w:numId w:val="3"/>
        </w:numPr>
        <w:spacing w:beforeAutospacing="true" w:afterAutospacing="true"/>
        <w:rPr>
          <w:rFonts w:cs="Arial"/>
        </w:rPr>
      </w:pPr>
      <w:r>
        <w:rPr>
          <w:rFonts w:cs="Arial"/>
        </w:rPr>
        <w:t xml:space="preserve">Increased the number of accessible units through rehabilitation of existing units or development of new units.</w:t>
      </w:r>
    </w:p>
    <w:p>
      <w:pPr>
        <w:widowControl w:val="false"/>
        <w:numPr>
          <w:ilvl w:val="0"/>
          <w:numId w:val="3"/>
        </w:numPr>
        <w:spacing w:beforeAutospacing="true" w:afterAutospacing="true"/>
        <w:rPr>
          <w:rFonts w:cs="Arial"/>
        </w:rPr>
      </w:pPr>
      <w:r>
        <w:rPr>
          <w:rFonts w:cs="Arial"/>
        </w:rPr>
        <w:t xml:space="preserve">Increased the availability and accessibility of financial resources for persons with the greatest need who are cost overburdened.</w:t>
      </w:r>
    </w:p>
    <w:p>
      <w:pPr>
        <w:widowControl w:val="false"/>
        <w:numPr>
          <w:ilvl w:val="0"/>
          <w:numId w:val="3"/>
        </w:numPr>
        <w:spacing w:beforeAutospacing="true" w:afterAutospacing="true"/>
        <w:rPr>
          <w:rFonts w:cs="Arial"/>
        </w:rPr>
      </w:pPr>
      <w:r>
        <w:rPr>
          <w:rFonts w:cs="Arial"/>
        </w:rPr>
        <w:t xml:space="preserve">Assisted households having difficulty in obtaining a mortgage by credit counseling and homebuyer assistance through our CHDO program.</w:t>
      </w:r>
    </w:p>
    <w:p>
      <w:pPr>
        <w:widowControl w:val="false"/>
        <w:numPr>
          <w:ilvl w:val="0"/>
          <w:numId w:val="3"/>
        </w:numPr>
        <w:spacing w:beforeAutospacing="true" w:afterAutospacing="true"/>
        <w:rPr>
          <w:rFonts w:cs="Arial"/>
        </w:rPr>
      </w:pPr>
      <w:r>
        <w:rPr>
          <w:rFonts w:cs="Arial"/>
        </w:rPr>
        <w:t xml:space="preserve">The HOME program continued to make potential homebuyers and financial institutions aware of fair lending practices, and the dangers of predatory lending.</w:t>
      </w:r>
    </w:p>
    <w:p>
      <w:pPr>
        <w:widowControl w:val="false"/>
        <w:numPr>
          <w:ilvl w:val="0"/>
          <w:numId w:val="3"/>
        </w:numPr>
        <w:spacing w:beforeAutospacing="true" w:afterAutospacing="true"/>
        <w:rPr>
          <w:rFonts w:cs="Arial"/>
        </w:rPr>
      </w:pPr>
      <w:r>
        <w:rPr>
          <w:rFonts w:cs="Arial"/>
        </w:rPr>
        <w:t xml:space="preserve">MOECD endeavored to increase the knowledge and awareness of the rights ensured by the Fair Housing Act among residents of the City of Charleston through the Fair Housing Act and the Americans with Disabilities Act to reduce the “not in my back yard” attitude in the City.</w:t>
      </w:r>
    </w:p>
    <w:p>
      <w:pPr>
        <w:widowControl w:val="false"/>
        <w:numPr>
          <w:ilvl w:val="0"/>
          <w:numId w:val="3"/>
        </w:numPr>
        <w:spacing w:beforeAutospacing="true" w:afterAutospacing="true"/>
        <w:rPr>
          <w:rFonts w:cs="Arial"/>
        </w:rPr>
      </w:pPr>
      <w:r>
        <w:rPr>
          <w:rFonts w:cs="Arial"/>
        </w:rPr>
        <w:t xml:space="preserve">Supported job training activities to help City residents to secure employment and increase their household income to improve their housing choice.</w:t>
      </w:r>
    </w:p>
    <w:p>
      <w:pPr>
        <w:widowControl w:val="false"/>
        <w:numPr>
          <w:ilvl w:val="0"/>
          <w:numId w:val="3"/>
        </w:numPr>
        <w:spacing w:beforeAutospacing="true" w:afterAutospacing="true"/>
        <w:rPr>
          <w:rFonts w:cs="Arial"/>
        </w:rPr>
      </w:pPr>
      <w:r>
        <w:rPr>
          <w:rFonts w:cs="Arial"/>
        </w:rPr>
        <w:t xml:space="preserve">The CDBG program supported information and referral services to connect residents to existing services available to assist them.</w:t>
      </w:r>
    </w:p>
    <w:p>
      <w:pPr>
        <w:widowControl w:val="false"/>
        <w:numPr>
          <w:ilvl w:val="0"/>
          <w:numId w:val="3"/>
        </w:numPr>
        <w:spacing w:beforeAutospacing="true" w:afterAutospacing="true"/>
        <w:rPr>
          <w:rFonts w:cs="Arial"/>
        </w:rPr>
      </w:pPr>
      <w:r>
        <w:rPr>
          <w:rFonts w:cs="Arial"/>
        </w:rPr>
        <w:t xml:space="preserve">Encouraged the development of housing outside areas of concentration of assisted housing, and the development of scattered site public housing and HUD assisted housing.</w:t>
      </w:r>
    </w:p>
    <w:p>
      <w:pPr>
        <w:widowControl w:val="false"/>
        <w:numPr>
          <w:ilvl w:val="0"/>
          <w:numId w:val="3"/>
        </w:numPr>
        <w:spacing w:beforeAutospacing="true" w:afterAutospacing="true"/>
        <w:rPr>
          <w:rFonts w:cs="Arial"/>
        </w:rPr>
      </w:pPr>
      <w:r>
        <w:rPr>
          <w:rFonts w:cs="Arial"/>
        </w:rPr>
        <w:t xml:space="preserve">Encouraged the development of scattered site public housing and HUD aided housing, as well as the use of Section 8 Housing Choice Vouchers, outside the areas of existing minority concentration.</w:t>
      </w:r>
    </w:p>
    <w:p>
      <w:pPr>
        <w:widowControl w:val="false"/>
        <w:numPr>
          <w:ilvl w:val="0"/>
          <w:numId w:val="3"/>
        </w:numPr>
        <w:spacing w:beforeAutospacing="true" w:afterAutospacing="true"/>
        <w:rPr>
          <w:rFonts w:cs="Arial"/>
        </w:rPr>
      </w:pPr>
      <w:r>
        <w:rPr>
          <w:rFonts w:cs="Arial"/>
        </w:rPr>
        <w:t xml:space="preserve">Encouraged and assisted first time homebuyers to purchase homes throughout the City with supported efforts to provide mortgage credit counseling to households in need of assistance.</w:t>
      </w:r>
    </w:p>
    <w:p w:rsidR="00FE3457" w:rsidRDefault="005268B9" w14:paraId="3C142042" w14:textId="77777777">
      <w:pPr>
        <w:pStyle w:val="Heading2"/>
        <w:pageBreakBefore/>
        <w:widowControl w:val="false"/>
        <w:rPr>
          <w:rFonts w:ascii="Calibri" w:hAnsi="Calibri"/>
          <w:i w:val="false"/>
        </w:rPr>
      </w:pPr>
      <w:r>
        <w:rPr>
          <w:rFonts w:ascii="Calibri" w:hAnsi="Calibri"/>
          <w:i w:val="false"/>
        </w:rPr>
        <w:t>CR-40 - Monitoring 91.220 and 91.230</w:t>
      </w:r>
    </w:p>
    <w:p w:rsidR="00FE3457" w:rsidRDefault="005268B9" w14:paraId="3F0B948E" w14:textId="77777777">
      <w:pPr>
        <w:widowControl w:val="false"/>
        <w:rPr>
          <w:b/>
          <w:sz w:val="24"/>
          <w:szCs w:val="24"/>
        </w:rPr>
      </w:pPr>
      <w:r>
        <w:rPr>
          <w:b/>
          <w:sz w:val="24"/>
          <w:szCs w:val="24"/>
        </w:rPr>
        <w:t>Describe the standards and procedures used to monitor activities carried out in furtherance of the plan and used to ensure long-term compliance with requirements of the programs involved, including minority business outreach and the comprehensive planning requirements</w:t>
      </w:r>
    </w:p>
    <w:p w:rsidR="00FE3457" w:rsidRDefault="00FE3457" w14:paraId="3ADFD508" w14:textId="77777777">
      <w:pPr>
        <w:widowControl w:val="false"/>
        <w:rPr>
          <w:rFonts w:cs="Arial"/>
        </w:rPr>
      </w:pPr>
    </w:p>
    <w:p w:rsidR="00FE3457" w:rsidRDefault="00FE3457" w14:paraId="63F7BA64" w14:textId="77777777">
      <w:pPr>
        <w:widowControl w:val="false"/>
        <w:rPr>
          <w:rFonts w:cs="Arial"/>
        </w:rPr>
      </w:pPr>
    </w:p>
    <w:p>
      <w:pPr>
        <w:widowControl w:val="false"/>
        <w:spacing w:beforeAutospacing="true" w:afterAutospacing="true"/>
        <w:rPr>
          <w:rFonts w:cs="Arial"/>
        </w:rPr>
      </w:pPr>
      <w:r>
        <w:rPr>
          <w:rFonts w:cs="Arial"/>
        </w:rPr>
        <w:t xml:space="preserve">During 2025, MOECD was able to provide targeted virtual monitoring to every high- and mid-risk CDBG recipient during the fiscal year.  Additionally, MOECD required all subrecipients to complete and submit quarterly CDBG progress reports, which serve as a first warning of potential problems, and required completion of Reimbursement Requests, which reflect the budget and current spending totals to ensure that the funder and subrecipients are on the same page.  At the beginning of each year and whenever necessary or requested, MOECD staff provides technical assistance to subrecipients to ensure progress and program compliance.  Subrecipients of federal funds are required to use their best efforts to afford small businesses, minority business enterprises, and women’s business enterprises the maximum practicable opportunity to participate in the performance of the contract.  As used in the contract, the term “small business” means a business that meets the criteria set forth in section 3(a) of the Small Business Act, as amended (15 USC § 632), and “minority and women’s business enterprise” means a business at least 51% owned and controlled by minority group members or women.  The subrecipient may rely on written representations by businesses regarding their status as minority and women’s business enterprises in lieu of an independent investigation.  Additionally, MOECD funded an activity for job training for women in skills such as, carpentry, electrician, plumbing, etc.</w:t>
      </w:r>
    </w:p>
    <w:p>
      <w:pPr>
        <w:widowControl w:val="false"/>
        <w:spacing w:beforeAutospacing="true" w:afterAutospacing="true"/>
        <w:rPr>
          <w:rFonts w:cs="Arial"/>
        </w:rPr>
      </w:pPr>
      <w:r>
        <w:rPr>
          <w:rFonts w:cs="Arial"/>
        </w:rPr>
        <w:t xml:space="preserve">The HOME program conducts  on-site and desk top  monitoring of Community Housing Development Organizations Activities in addition to specific project monitoring of new construction activities.   Each property is inspected prior to the beginning of construction and prior to the release of individual funds to contractors for payments.  Each client that occupies or purchases property is also underwritten and inspected by MOECD.   Individual rental properties are inspected based on the required schedule by HUD.  Additional information on these projects is listed in CR 50.  MOECD makes a concentrated effort to conduct Home application seminars and advertise program availability within areas of concentrated minority populations.  In addition to the advertisements, flyers are distributed within neighborhoods and businesses.  Advertisements are run in local newspapers; flyers are distributed to real estate offices and lenders facilities including any local neighborhood organizational events that allow solicitation.</w:t>
      </w:r>
    </w:p>
    <w:p>
      <w:pPr>
        <w:widowControl w:val="false"/>
        <w:spacing w:beforeAutospacing="true" w:afterAutospacing="true"/>
        <w:rPr>
          <w:rFonts w:cs="Arial"/>
        </w:rPr>
      </w:pPr>
      <w:r>
        <w:rPr>
          <w:rFonts w:cs="Arial"/>
        </w:rPr>
        <w:t xml:space="preserve">All federally funded projects are put out to bid through the City Manager’s office.  Upon request, businesses can be added to an interested bidders list including women and minority owned businesses.  </w:t>
      </w:r>
    </w:p>
    <w:p w:rsidR="00FE3457" w:rsidRDefault="00FE3457" w14:paraId="11AD48F1" w14:textId="77777777">
      <w:pPr>
        <w:widowControl w:val="false"/>
        <w:rPr>
          <w:rFonts w:cs="Arial"/>
        </w:rPr>
      </w:pPr>
    </w:p>
    <w:p w:rsidR="00FE3457" w:rsidRDefault="005268B9" w14:paraId="1DDFDEF2" w14:textId="77777777">
      <w:pPr>
        <w:widowControl w:val="false"/>
        <w:rPr>
          <w:b/>
          <w:sz w:val="24"/>
          <w:szCs w:val="24"/>
        </w:rPr>
      </w:pPr>
      <w:r>
        <w:rPr>
          <w:b/>
          <w:sz w:val="24"/>
          <w:szCs w:val="24"/>
        </w:rPr>
        <w:t>Citizen Participation Plan 91.105(d); 91.115(d)</w:t>
      </w:r>
    </w:p>
    <w:p w:rsidR="00FE3457" w:rsidRDefault="005268B9" w14:paraId="7D64844C" w14:textId="77777777">
      <w:pPr>
        <w:widowControl w:val="false"/>
        <w:rPr>
          <w:sz w:val="24"/>
          <w:szCs w:val="24"/>
        </w:rPr>
      </w:pPr>
      <w:r>
        <w:rPr>
          <w:b/>
          <w:sz w:val="24"/>
          <w:szCs w:val="24"/>
        </w:rPr>
        <w:t>Describe the efforts to provide citizens with reasonable notice and an opportunity to comment on performance reports</w:t>
      </w:r>
      <w:r>
        <w:rPr>
          <w:sz w:val="24"/>
          <w:szCs w:val="24"/>
        </w:rPr>
        <w:t>.</w:t>
      </w:r>
    </w:p>
    <w:p>
      <w:pPr>
        <w:spacing w:beforeAutospacing="true" w:afterAutospacing="true"/>
      </w:pPr>
      <w:r>
        <w:rPr/>
        <w:t xml:space="preserve">The City held one virtual and one in person public meeting during the planning process: </w:t>
      </w:r>
    </w:p>
    <w:p>
      <w:pPr>
        <w:numPr>
          <w:ilvl w:val="0"/>
          <w:numId w:val="3"/>
        </w:numPr>
        <w:spacing w:beforeAutospacing="true" w:afterAutospacing="true"/>
      </w:pPr>
      <w:r>
        <w:rPr/>
        <w:t xml:space="preserve">December 4, 2025 - in person</w:t>
      </w:r>
    </w:p>
    <w:p>
      <w:pPr>
        <w:numPr>
          <w:ilvl w:val="0"/>
          <w:numId w:val="3"/>
        </w:numPr>
        <w:spacing w:beforeAutospacing="true" w:afterAutospacing="true"/>
      </w:pPr>
      <w:r>
        <w:rPr/>
        <w:t xml:space="preserve">April 15, 2026 - virtual</w:t>
      </w:r>
    </w:p>
    <w:p>
      <w:pPr>
        <w:spacing w:beforeAutospacing="true" w:afterAutospacing="true"/>
      </w:pPr>
      <w:r>
        <w:rPr/>
        <w:t xml:space="preserve">These meetings were announced in display ads published in the Charleston Gazette Mail on November 19, 2025 and April 1, 2026.  Additionally, an email notice was sent to MOECD contacts, including City Council members, department heads, and representatives of non-profit organizations throughout the City.  Fliers announcing these meetings were posted on the City’s website and sent to the contacts, requesting that they post the notices to inform the public of their opportunity to share ideas and concerns. A proposed project list was also announced as a Public Notice in the Charleston Gazette Mail on April 1, 2026. </w:t>
      </w:r>
    </w:p>
    <w:p>
      <w:pPr>
        <w:spacing w:beforeAutospacing="true" w:afterAutospacing="true"/>
      </w:pPr>
      <w:r>
        <w:rPr/>
        <w:t xml:space="preserve">The City announced that the 2025 Consolidated Annual Performance and Evaluation Report (CAPER) would be available for public review on the City’s website, from September 11, 2026 to September 25, 2026 and written comments would be accepted.  No comments were received.</w:t>
      </w:r>
    </w:p>
    <w:p w:rsidR="00FE3457" w:rsidRDefault="005268B9" w14:paraId="65803824" w14:textId="77777777">
      <w:pPr>
        <w:keepNext/>
        <w:pageBreakBefore/>
        <w:widowControl w:val="false"/>
        <w:spacing w:before="240" w:after="60"/>
        <w:outlineLvl w:val="1"/>
        <w:rPr>
          <w:rFonts w:cs="Arial"/>
          <w:b/>
          <w:bCs/>
          <w:iCs/>
          <w:sz w:val="28"/>
          <w:szCs w:val="28"/>
        </w:rPr>
      </w:pPr>
      <w:r>
        <w:rPr>
          <w:rFonts w:cs="Arial"/>
          <w:b/>
          <w:bCs/>
          <w:iCs/>
          <w:sz w:val="28"/>
          <w:szCs w:val="28"/>
        </w:rPr>
        <w:t>CR-45 - CDBG 91.520(c)</w:t>
      </w:r>
    </w:p>
    <w:p w:rsidR="00FE3457" w:rsidRDefault="005268B9" w14:paraId="0B0365AE" w14:textId="77777777">
      <w:pPr>
        <w:widowControl w:val="false"/>
        <w:rPr>
          <w:b/>
          <w:sz w:val="24"/>
          <w:szCs w:val="24"/>
        </w:rPr>
      </w:pPr>
      <w:r>
        <w:rPr>
          <w:b/>
          <w:sz w:val="24"/>
          <w:szCs w:val="24"/>
        </w:rPr>
        <w:t>Specify the nature of, and reasons for, any changes in the jurisdiction’s program objectives and indications of how the jurisdiction would change its programs as a result of its experiences.</w:t>
      </w:r>
    </w:p>
    <w:p>
      <w:pPr>
        <w:widowControl w:val="false"/>
        <w:spacing w:beforeAutospacing="true" w:afterAutospacing="true"/>
        <w:rPr>
          <w:rFonts w:cs="Arial"/>
        </w:rPr>
      </w:pPr>
      <w:r>
        <w:rPr>
          <w:rFonts w:cs="Arial"/>
        </w:rPr>
        <w:t xml:space="preserve">No significant changes were made to the jurisdiction’s program; however, reinforcement of current guidelines and policies through monitoring and technical assistance were made. </w:t>
      </w:r>
    </w:p>
    <w:p w:rsidR="00FE3457" w:rsidRDefault="005268B9" w14:paraId="3267F0F1" w14:textId="77777777">
      <w:pPr>
        <w:widowControl w:val="false"/>
        <w:rPr>
          <w:b/>
          <w:sz w:val="24"/>
          <w:szCs w:val="24"/>
        </w:rPr>
      </w:pPr>
      <w:r>
        <w:rPr>
          <w:b/>
          <w:sz w:val="24"/>
          <w:szCs w:val="24"/>
        </w:rPr>
        <w:t>Does this Jurisdiction have any open Brownfields Economic Development Initiative (BEDI) grants?</w:t>
      </w:r>
    </w:p>
    <w:p>
      <w:pPr>
        <w:widowControl w:val="false"/>
        <w:spacing w:beforeAutospacing="true" w:afterAutospacing="true"/>
        <w:rPr>
          <w:rFonts w:cs="Arial"/>
        </w:rPr>
      </w:pPr>
      <w:r>
        <w:rPr>
          <w:rFonts w:cs="Arial"/>
        </w:rPr>
        <w:t xml:space="preserve">No</w:t>
      </w:r>
    </w:p>
    <w:p w:rsidR="00FE3457" w:rsidRDefault="005268B9" w14:paraId="04AC8754" w14:textId="77777777">
      <w:pPr>
        <w:widowControl w:val="false"/>
        <w:rPr>
          <w:b/>
          <w:sz w:val="24"/>
          <w:szCs w:val="24"/>
        </w:rPr>
      </w:pPr>
      <w:r>
        <w:rPr>
          <w:b/>
          <w:sz w:val="24"/>
          <w:szCs w:val="24"/>
        </w:rPr>
        <w:t>[BEDI grantees]  Describe accomplishments and program outcomes during the last year.</w:t>
      </w:r>
    </w:p>
    <w:p w:rsidR="00FE3457" w:rsidRDefault="005268B9" w14:paraId="59898126" w14:textId="77777777">
      <w:pPr>
        <w:widowControl w:val="false"/>
        <w:rPr>
          <w:rFonts w:cs="Arial"/>
        </w:rPr>
      </w:pPr>
      <w:r>
        <w:rPr>
          <w:rFonts w:cs="Arial"/>
        </w:rPr>
      </w:r>
    </w:p>
    <w:p w:rsidR="00FE3457" w:rsidRDefault="00FE3457" w14:paraId="66387125" w14:textId="77777777"/>
    <w:p w:rsidR="00FE3457" w:rsidRDefault="00FE3457" w14:paraId="06C30544" w14:textId="77777777"/>
    <w:p w:rsidR="00FE3457" w:rsidRDefault="005268B9" w14:paraId="4B4F3CAC" w14:textId="77777777">
      <w:pPr>
        <w:pStyle w:val="Heading2"/>
        <w:pageBreakBefore/>
        <w:widowControl w:val="false"/>
        <w:rPr>
          <w:rFonts w:ascii="Calibri" w:hAnsi="Calibri"/>
          <w:i w:val="false"/>
        </w:rPr>
      </w:pPr>
      <w:r>
        <w:rPr>
          <w:rFonts w:ascii="Calibri" w:hAnsi="Calibri"/>
          <w:i w:val="false"/>
        </w:rPr>
        <w:t>CR-50 - HOME 24 CFR 91.520(d)</w:t>
      </w:r>
    </w:p>
    <w:p w:rsidR="00FE3457" w:rsidRDefault="005268B9" w14:paraId="70987AB7" w14:textId="77777777">
      <w:pPr>
        <w:widowControl w:val="false"/>
        <w:rPr>
          <w:b/>
          <w:sz w:val="24"/>
          <w:szCs w:val="24"/>
        </w:rPr>
      </w:pPr>
      <w:r>
        <w:rPr>
          <w:b/>
          <w:sz w:val="24"/>
          <w:szCs w:val="24"/>
        </w:rPr>
        <w:t xml:space="preserve">Include the results of on-site inspections of affordable rental housing assisted under the program to determine compliance with housing codes and other applicable regulations </w:t>
      </w:r>
    </w:p>
    <w:p w:rsidR="00FE3457" w:rsidRDefault="005268B9" w14:paraId="24FE8E40" w14:textId="77777777">
      <w:pPr>
        <w:widowControl w:val="false"/>
        <w:rPr>
          <w:sz w:val="24"/>
          <w:szCs w:val="24"/>
        </w:rPr>
      </w:pPr>
      <w:r>
        <w:rPr>
          <w:sz w:val="24"/>
          <w:szCs w:val="24"/>
        </w:rPr>
        <w:t>Please list those projects that should have been inspected on-site this program year based upon the schedule in 24 CFR §92.504(d). Indicate which of these were inspected and a summary of issues that were detected during the inspection. For those that were not inspected, please indicate the reason and how you will remedy the situation.</w:t>
      </w:r>
    </w:p>
    <w:p>
      <w:pPr>
        <w:widowControl w:val="false"/>
        <w:spacing w:beforeAutospacing="true" w:afterAutospacing="true"/>
        <w:rPr>
          <w:rFonts w:cs="Arial"/>
        </w:rPr>
      </w:pPr>
      <w:r>
        <w:rPr>
          <w:rFonts w:cs="Arial"/>
        </w:rPr>
        <w:t xml:space="preserve">The City of Charleston currently has no rental property within its affordability and inspection period.</w:t>
      </w:r>
    </w:p>
    <w:p w:rsidR="00FE3457" w:rsidRDefault="005268B9" w14:paraId="58425426" w14:textId="77777777">
      <w:pPr>
        <w:widowControl w:val="false"/>
        <w:rPr>
          <w:b/>
          <w:sz w:val="24"/>
          <w:szCs w:val="24"/>
        </w:rPr>
      </w:pPr>
      <w:r>
        <w:rPr>
          <w:b/>
          <w:sz w:val="24"/>
          <w:szCs w:val="24"/>
        </w:rPr>
        <w:t>Provide an assessment of the jurisdiction's affirmative marketing actions for HOME units. 24 CFR 91.520(e) and 24 CFR 92.351(a)</w:t>
      </w:r>
    </w:p>
    <w:p>
      <w:pPr>
        <w:widowControl w:val="false"/>
        <w:spacing w:beforeAutospacing="true" w:afterAutospacing="true"/>
        <w:rPr>
          <w:rFonts w:cs="Arial"/>
        </w:rPr>
      </w:pPr>
      <w:r>
        <w:rPr>
          <w:rFonts w:cs="Arial"/>
        </w:rPr>
        <w:t xml:space="preserve">The City consortium believes that individuals of similar economic levels in the same housing market area should have available to them a like range of housing choices regardless of their race, color, religion, age, sex, familial status, sexual orientation, gender identity, disability or national origin.  Individuals who have children should have available a like range of housing choices.   Per the consortium agreement this policy is carried out through affirmative marketing procedures.    The public is informed of this policy by including the public rights in all marketing material and application packages.   This information is required to be presented to any tenant in a rental funded project.  Tenants are also informed of their rights under the fair housing laws.  Owners of multi-family units are required to provide racial, ethnic and gender characteristics of their tenants.  The purchase program also monitors this information to ensure funds are being distributed in an equal and fair manner.  </w:t>
      </w:r>
    </w:p>
    <w:p>
      <w:pPr>
        <w:widowControl w:val="false"/>
        <w:spacing w:beforeAutospacing="true" w:afterAutospacing="true"/>
        <w:rPr>
          <w:rFonts w:cs="Arial"/>
        </w:rPr>
      </w:pPr>
      <w:r>
        <w:rPr>
          <w:rFonts w:cs="Arial"/>
        </w:rPr>
        <w:t xml:space="preserve">The City makes a concentrated effort to conduct HOME application seminars and advertise program availability within areas of concentrated minority populations.   This current year has included home ownership seminars in partnership with Charleston Kanawha Housing Authority to increase participation of Housing Choice Voucher clients.   The  Partnerships with local lenders has increased over the past year.  Additionally, work with non-profit and for-profit entities has allowed for outreach through the provision of marketing material and also technical support of other fairs and seminars.    </w:t>
      </w:r>
    </w:p>
    <w:p>
      <w:pPr>
        <w:widowControl w:val="false"/>
        <w:spacing w:beforeAutospacing="true" w:afterAutospacing="true"/>
        <w:rPr>
          <w:rFonts w:cs="Arial"/>
        </w:rPr>
      </w:pPr>
      <w:r>
        <w:rPr>
          <w:rFonts w:cs="Arial"/>
        </w:rPr>
        <w:t xml:space="preserve">The current processes of affirmative marketing will continue.</w:t>
      </w:r>
    </w:p>
    <w:p w:rsidR="00FE3457" w:rsidRDefault="005268B9" w14:paraId="77DE4C0F" w14:textId="77777777">
      <w:pPr>
        <w:widowControl w:val="false"/>
        <w:rPr>
          <w:b/>
          <w:sz w:val="24"/>
          <w:szCs w:val="24"/>
        </w:rPr>
      </w:pPr>
      <w:r>
        <w:rPr>
          <w:b/>
          <w:sz w:val="24"/>
          <w:szCs w:val="24"/>
        </w:rPr>
        <w:t>Refer to IDIS reports to describe the amount and use of program income for projects, including the number of projects and owner and tenant characteristics</w:t>
      </w:r>
    </w:p>
    <w:p>
      <w:pPr>
        <w:widowControl w:val="false"/>
        <w:spacing w:beforeAutospacing="true" w:afterAutospacing="true"/>
        <w:rPr>
          <w:rFonts w:cs="Arial"/>
        </w:rPr>
      </w:pPr>
      <w:r>
        <w:rPr>
          <w:rFonts w:cs="Arial"/>
        </w:rPr>
        <w:t xml:space="preserve">Expended program income was used to support the first-time homebuyer program.  This program provided down payment and closing cost assistance to eligible applicants.   There were no rental projects funded or completed within this program year.  </w:t>
      </w:r>
    </w:p>
    <w:p>
      <w:pPr>
        <w:widowControl w:val="false"/>
        <w:spacing w:beforeAutospacing="true" w:afterAutospacing="true"/>
        <w:rPr>
          <w:rFonts w:cs="Arial"/>
        </w:rPr>
      </w:pPr>
      <w:r>
        <w:rPr>
          <w:rFonts w:cs="Arial"/>
        </w:rPr>
        <w:t xml:space="preserve">The first-time homebuyer program provided a total of eight HOME units.   The following are the owner’s characteristics:   White 11, African American 4, 2 over the age of 62.   All clients were low to moderate income and 13 are considered female head of household. </w:t>
      </w:r>
      <w:r>
        <w:rPr>
          <w:rFonts w:cs="Arial"/>
          <w:b/>
        </w:rPr>
        <w:t xml:space="preserve"> The PR 23 Status of HOME Grants in IDIS reflects this information.</w:t>
      </w:r>
    </w:p>
    <w:p w:rsidR="00FE3457" w:rsidRDefault="005268B9" w14:paraId="4F1E5498" w14:textId="77777777">
      <w:pPr>
        <w:widowControl w:val="false"/>
        <w:rPr>
          <w:b/>
          <w:sz w:val="24"/>
          <w:szCs w:val="24"/>
        </w:rPr>
      </w:pPr>
      <w:r>
        <w:rPr>
          <w:b/>
          <w:sz w:val="24"/>
          <w:szCs w:val="24"/>
        </w:rPr>
        <w:t>Describe other actions taken to foster and maintain affordable housing. 24 CFR 91.220(k) (STATES ONLY: Including the coordination of LIHTC with the development of affordable housing). 24 CFR 91.320(j)</w:t>
      </w:r>
    </w:p>
    <w:p>
      <w:pPr>
        <w:widowControl w:val="false"/>
        <w:spacing w:beforeAutospacing="true" w:afterAutospacing="true"/>
        <w:rPr>
          <w:rFonts w:cs="Arial"/>
        </w:rPr>
      </w:pPr>
      <w:r>
        <w:rPr>
          <w:rFonts w:cs="Arial"/>
        </w:rPr>
        <w:t xml:space="preserve">The City of Charleston continued to support and fund the Housing Rehabilitation, Emergency Rehabilitation, First Time Home Buyers and Home CHDO projects in an effort to foster and maintain affordable housing. The City countinues to work within multiple departments to address additional issues in the areas of building and planning. This is an effort to make affordable housing more inclusive in program development in the future.  Additionally, the City continues to work with the  land re-use agency to capture deteriating property and facilitate the redevelopment into viable alternatives.   A partnership with the Charleston Kanawha Housing Self-Sufficiency Program and the Housing Choice Voucher program continues to allow public housing receipients access to home purchase progams.   This partnership includes lenders, and a non-profit credit counseling agency.  Expansion to social service providers is still in consideration in combination with the new HOME ARP funding.</w:t>
      </w:r>
    </w:p>
    <w:p w:rsidR="00FE3457" w:rsidRDefault="00FE3457" w14:paraId="0F517030" w14:textId="77777777">
      <w:pPr>
        <w:widowControl w:val="false"/>
        <w:rPr>
          <w:rFonts w:cs="Arial"/>
          <w:szCs w:val="26"/>
        </w:rPr>
      </w:pPr>
    </w:p>
    <w:p w:rsidR="00FE3457" w:rsidRDefault="00FE3457" w14:paraId="65559C6B" w14:textId="77777777"/>
    <w:p w:rsidR="00FE3457" w:rsidRDefault="00FE3457" w14:paraId="3785B1E1" w14:textId="77777777"/>
    <w:p w:rsidR="00FE3457" w:rsidRDefault="005268B9" w14:paraId="6DB4D548" w14:textId="77777777">
      <w:pPr>
        <w:pStyle w:val="Heading2"/>
        <w:keepNext w:val="false"/>
        <w:pageBreakBefore/>
        <w:widowControl w:val="false"/>
        <w:rPr>
          <w:rFonts w:ascii="Calibri" w:hAnsi="Calibri"/>
          <w:i w:val="false"/>
        </w:rPr>
      </w:pPr>
      <w:r>
        <w:rPr>
          <w:rFonts w:ascii="Calibri" w:hAnsi="Calibri"/>
          <w:i w:val="false"/>
        </w:rPr>
        <w:t>CR-58 – Section 3</w:t>
      </w:r>
    </w:p>
    <w:p w:rsidR="00FE3457" w:rsidRDefault="005268B9" w14:paraId="000EF393" w14:textId="77777777">
      <w:pPr>
        <w:widowControl w:val="false"/>
        <w:rPr>
          <w:b/>
          <w:sz w:val="24"/>
          <w:szCs w:val="24"/>
        </w:rPr>
      </w:pPr>
      <w:r>
        <w:rPr>
          <w:b/>
          <w:sz w:val="24"/>
          <w:szCs w:val="24"/>
        </w:rPr>
        <w:t xml:space="preserve">Identify the number of individuals assisted and the types of assistance provided </w:t>
      </w:r>
    </w:p>
    <w:p w:rsidR="00FE3457" w:rsidRDefault="00FE3457" w14:paraId="7586E6C1" w14:textId="77777777">
      <w:pPr>
        <w:widowControl w:val="false"/>
        <w:rPr>
          <w:sz w:val="24"/>
          <w:szCs w:val="24"/>
        </w:rPr>
      </w:pPr>
    </w:p>
    <w:tbl>
      <w:tblPr>
        <w:tblW w:w="5021"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5335"/>
        <w:gridCol w:w="793"/>
        <w:gridCol w:w="881"/>
        <w:gridCol w:w="706"/>
        <w:gridCol w:w="968"/>
        <w:gridCol w:w="706"/>
      </w:tblGrid>
      <w:tr w:rsidR="00FE3457" w14:paraId="5828E3D5" w14:textId="77777777">
        <w:trPr>
          <w:cantSplit/>
        </w:trPr>
        <w:tc>
          <w:tcPr>
            <w:tcW w:w="5490" w:type="dxa"/>
          </w:tcPr>
          <w:p w:rsidR="00FE3457" w:rsidRDefault="005268B9" w14:paraId="356DD4FB" w14:textId="77777777">
            <w:pPr>
              <w:keepNext/>
              <w:widowControl w:val="false"/>
              <w:tabs>
                <w:tab w:val="left" w:pos="2070"/>
              </w:tabs>
              <w:spacing w:after="0" w:line="240" w:lineRule="auto"/>
              <w:ind w:right="162"/>
              <w:jc w:val="center"/>
              <w:rPr>
                <w:b/>
              </w:rPr>
            </w:pPr>
            <w:r>
              <w:rPr>
                <w:b/>
              </w:rPr>
              <w:t>Total Labor Hours</w:t>
            </w:r>
          </w:p>
        </w:tc>
        <w:tc>
          <w:tcPr>
            <w:tcW w:w="810" w:type="dxa"/>
          </w:tcPr>
          <w:p w:rsidR="00FE3457" w:rsidRDefault="005268B9" w14:paraId="2963802A" w14:textId="77777777">
            <w:pPr>
              <w:keepNext/>
              <w:widowControl w:val="false"/>
              <w:spacing w:after="0" w:line="240" w:lineRule="auto"/>
              <w:jc w:val="center"/>
              <w:rPr>
                <w:b/>
              </w:rPr>
            </w:pPr>
            <w:r>
              <w:rPr>
                <w:b/>
              </w:rPr>
              <w:t>CDBG</w:t>
            </w:r>
          </w:p>
        </w:tc>
        <w:tc>
          <w:tcPr>
            <w:tcW w:w="900" w:type="dxa"/>
          </w:tcPr>
          <w:p w:rsidR="00FE3457" w:rsidRDefault="005268B9" w14:paraId="6D3FFB18" w14:textId="77777777">
            <w:pPr>
              <w:keepNext/>
              <w:widowControl w:val="false"/>
              <w:spacing w:after="0" w:line="240" w:lineRule="auto"/>
              <w:jc w:val="center"/>
              <w:rPr>
                <w:b/>
              </w:rPr>
            </w:pPr>
            <w:r>
              <w:rPr>
                <w:b/>
              </w:rPr>
              <w:t>HOME</w:t>
            </w:r>
          </w:p>
        </w:tc>
        <w:tc>
          <w:tcPr>
            <w:tcW w:w="720" w:type="dxa"/>
          </w:tcPr>
          <w:p w:rsidR="00FE3457" w:rsidRDefault="005268B9" w14:paraId="3525C577" w14:textId="77777777">
            <w:pPr>
              <w:keepNext/>
              <w:widowControl w:val="false"/>
              <w:spacing w:after="0" w:line="240" w:lineRule="auto"/>
              <w:rPr>
                <w:b/>
              </w:rPr>
            </w:pPr>
            <w:r>
              <w:rPr>
                <w:b/>
              </w:rPr>
              <w:t>ESG</w:t>
            </w:r>
          </w:p>
        </w:tc>
        <w:tc>
          <w:tcPr>
            <w:tcW w:w="990" w:type="dxa"/>
          </w:tcPr>
          <w:p w:rsidR="00FE3457" w:rsidRDefault="005268B9" w14:paraId="6FBC5DE0" w14:textId="77777777">
            <w:pPr>
              <w:keepNext/>
              <w:widowControl w:val="false"/>
              <w:spacing w:after="0" w:line="240" w:lineRule="auto"/>
              <w:jc w:val="center"/>
              <w:rPr>
                <w:b/>
              </w:rPr>
            </w:pPr>
            <w:r>
              <w:rPr>
                <w:b/>
              </w:rPr>
              <w:t>HOPWA</w:t>
            </w:r>
          </w:p>
        </w:tc>
        <w:tc>
          <w:tcPr>
            <w:tcW w:w="720" w:type="dxa"/>
          </w:tcPr>
          <w:p w:rsidR="00FE3457" w:rsidRDefault="005268B9" w14:paraId="0BF0AF64" w14:textId="77777777">
            <w:pPr>
              <w:keepNext/>
              <w:widowControl w:val="false"/>
              <w:spacing w:after="0" w:line="240" w:lineRule="auto"/>
              <w:jc w:val="center"/>
              <w:rPr>
                <w:b/>
              </w:rPr>
            </w:pPr>
            <w:r>
              <w:rPr>
                <w:b/>
              </w:rPr>
              <w:t>HTF</w:t>
            </w:r>
          </w:p>
        </w:tc>
      </w:tr>
      <w:tr>
        <w:trPr>
          <w:cantSplit w:val="true"/>
        </w:trPr>
        <w:tc>
          <w:tcPr>
            <w:vAlign w:val="center"/>
          </w:tcPr>
          <w:p>
            <w:pPr>
              <w:spacing w:beforeAutospacing="true" w:afterAutospacing="true"/>
              <w:jc w:val="left"/>
            </w:pPr>
            <w:r>
              <w:rPr>
                <w:rFonts w:ascii="Arial" w:hAnsi="Arial"/>
                <w:color w:val="25396e"/>
                <w:sz w:val="16"/>
              </w:rPr>
              <w:t xml:space="preserve">Total Number of Activities</w:t>
            </w:r>
          </w:p>
        </w:tc>
        <w:tc>
          <w:tcPr>
            <w:vAlign w:val="center"/>
          </w:tcPr>
          <w:p>
            <w:pPr>
              <w:spacing w:beforeAutospacing="true" w:afterAutospacing="true"/>
              <w:jc w:val="right"/>
            </w:pPr>
            <w:r>
              <w:rPr>
                <w:rFonts w:ascii="Arial" w:hAnsi="Arial"/>
                <w:color w:val="000000"/>
                <w:sz w:val="16"/>
              </w:rPr>
              <w:t xml:space="preserve">2</w:t>
            </w:r>
          </w:p>
        </w:tc>
        <w:tc>
          <w:tcPr>
            <w:vAlign w:val="center"/>
          </w:tcPr>
          <w:p>
            <w:pPr>
              <w:spacing w:beforeAutospacing="true" w:afterAutospacing="true"/>
              <w:jc w:val="right"/>
            </w:pPr>
            <w:r>
              <w:rPr>
                <w:rFonts w:ascii="Arial" w:hAnsi="Arial"/>
                <w:color w:val="000000"/>
                <w:sz w:val="16"/>
              </w:rPr>
              <w:t xml:space="preserve">0</w:t>
            </w:r>
          </w:p>
        </w:tc>
        <w:tc>
          <w:tcPr>
            <w:vAlign w:val="center"/>
          </w:tcPr>
          <w:p>
            <w:pPr>
              <w:spacing w:beforeAutospacing="true" w:afterAutospacing="true"/>
              <w:jc w:val="right"/>
            </w:pPr>
            <w:r>
              <w:rPr>
                <w:rFonts w:ascii="Arial" w:hAnsi="Arial"/>
                <w:color w:val="000000"/>
                <w:sz w:val="16"/>
              </w:rPr>
              <w:t xml:space="preserve">0</w:t>
            </w:r>
          </w:p>
        </w:tc>
        <w:tc>
          <w:tcPr>
            <w:vAlign w:val="center"/>
          </w:tcPr>
          <w:p>
            <w:pPr>
              <w:spacing w:beforeAutospacing="true" w:afterAutospacing="true"/>
              <w:jc w:val="right"/>
            </w:pPr>
            <w:r>
              <w:rPr>
                <w:rFonts w:ascii="Arial" w:hAnsi="Arial"/>
                <w:color w:val="000000"/>
                <w:sz w:val="16"/>
              </w:rPr>
              <w:t xml:space="preserve">0</w:t>
            </w:r>
          </w:p>
        </w:tc>
        <w:tc>
          <w:tcPr>
            <w:vAlign w:val="center"/>
          </w:tcPr>
          <w:p>
            <w:pPr>
              <w:spacing w:beforeAutospacing="true" w:afterAutospacing="true"/>
              <w:jc w:val="right"/>
            </w:pPr>
            <w:r>
              <w:rPr>
                <w:rFonts w:ascii="Arial" w:hAnsi="Arial"/>
                <w:color w:val="000000"/>
                <w:sz w:val="16"/>
              </w:rPr>
              <w:t xml:space="preserve">0</w:t>
            </w:r>
          </w:p>
        </w:tc>
      </w:tr>
      <w:tr>
        <w:trPr>
          <w:cantSplit w:val="true"/>
        </w:trPr>
        <w:tc>
          <w:tcPr>
            <w:vAlign w:val="center"/>
          </w:tcPr>
          <w:p>
            <w:pPr>
              <w:spacing w:beforeAutospacing="true" w:afterAutospacing="true"/>
              <w:jc w:val="left"/>
            </w:pPr>
            <w:r>
              <w:rPr>
                <w:rFonts w:ascii="Arial" w:hAnsi="Arial"/>
                <w:color w:val="25396e"/>
                <w:sz w:val="16"/>
              </w:rPr>
              <w:t xml:space="preserve">Total Labor Hours</w:t>
            </w:r>
          </w:p>
        </w:tc>
        <w:tc>
          <w:tcPr>
            <w:vAlign w:val="center"/>
          </w:tcPr>
          <w:p>
            <w:pPr>
              <w:spacing w:beforeAutospacing="true" w:afterAutospacing="true"/>
              <w:jc w:val="right"/>
            </w:pPr>
            <w:r>
              <w:rPr>
                <w:rFonts w:ascii="Arial" w:hAnsi="Arial"/>
                <w:color w:val="000000"/>
                <w:sz w:val="16"/>
              </w:rPr>
              <w:t xml:space="preserve">4,214</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Total Section 3 Worker Hours</w:t>
            </w:r>
          </w:p>
        </w:tc>
        <w:tc>
          <w:tcPr>
            <w:vAlign w:val="center"/>
          </w:tcPr>
          <w:p>
            <w:pPr>
              <w:spacing w:beforeAutospacing="true" w:afterAutospacing="true"/>
              <w:jc w:val="right"/>
            </w:pPr>
            <w:r>
              <w:rPr>
                <w:rFonts w:ascii="Arial" w:hAnsi="Arial"/>
                <w:color w:val="000000"/>
                <w:sz w:val="16"/>
              </w:rPr>
              <w:t xml:space="preserve">0</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Total Targeted Section 3 Worker Hours</w:t>
            </w:r>
          </w:p>
        </w:tc>
        <w:tc>
          <w:tcPr>
            <w:vAlign w:val="center"/>
          </w:tcPr>
          <w:p>
            <w:pPr>
              <w:spacing w:beforeAutospacing="true" w:afterAutospacing="true"/>
              <w:jc w:val="right"/>
            </w:pPr>
            <w:r>
              <w:rPr>
                <w:rFonts w:ascii="Arial" w:hAnsi="Arial"/>
                <w:color w:val="000000"/>
                <w:sz w:val="16"/>
              </w:rPr>
              <w:t xml:space="preserve">0</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bl>
    <w:p w:rsidR="00FE3457" w:rsidRDefault="005268B9" w14:paraId="06258342"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15</w:t>
      </w:r>
      <w:r>
        <w:rPr>
          <w:rFonts w:asciiTheme="minorHAnsi" w:hAnsiTheme="minorHAnsi"/>
        </w:rPr>
        <w:fldChar w:fldCharType="end"/>
      </w:r>
      <w:r>
        <w:rPr>
          <w:rFonts w:asciiTheme="minorHAnsi" w:hAnsiTheme="minorHAnsi"/>
        </w:rPr>
        <w:t xml:space="preserve"> – Total Labor Hours</w:t>
      </w:r>
    </w:p>
    <w:p w:rsidR="00FE3457" w:rsidRDefault="00FE3457" w14:paraId="34D9DEF3" w14:textId="77777777">
      <w:pPr>
        <w:widowControl w:val="false"/>
        <w:rPr>
          <w:b/>
          <w:sz w:val="24"/>
          <w:szCs w:val="24"/>
        </w:rPr>
      </w:pPr>
    </w:p>
    <w:tbl>
      <w:tblPr>
        <w:tblW w:w="5021"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5335"/>
        <w:gridCol w:w="793"/>
        <w:gridCol w:w="881"/>
        <w:gridCol w:w="706"/>
        <w:gridCol w:w="968"/>
        <w:gridCol w:w="706"/>
      </w:tblGrid>
      <w:tr w:rsidR="00FE3457" w14:paraId="461FD37D" w14:textId="77777777">
        <w:trPr>
          <w:cantSplit/>
        </w:trPr>
        <w:tc>
          <w:tcPr>
            <w:tcW w:w="5490" w:type="dxa"/>
          </w:tcPr>
          <w:p w:rsidR="00FE3457" w:rsidRDefault="005268B9" w14:paraId="1D71EC25" w14:textId="77777777">
            <w:pPr>
              <w:keepNext/>
              <w:widowControl w:val="false"/>
              <w:tabs>
                <w:tab w:val="left" w:pos="2070"/>
              </w:tabs>
              <w:spacing w:after="0" w:line="240" w:lineRule="auto"/>
              <w:ind w:right="162"/>
              <w:jc w:val="center"/>
              <w:rPr>
                <w:b/>
              </w:rPr>
            </w:pPr>
            <w:r>
              <w:rPr>
                <w:b/>
              </w:rPr>
              <w:t>Qualitative Efforts - Number of Activities by Program</w:t>
            </w:r>
          </w:p>
        </w:tc>
        <w:tc>
          <w:tcPr>
            <w:tcW w:w="810" w:type="dxa"/>
          </w:tcPr>
          <w:p w:rsidR="00FE3457" w:rsidRDefault="005268B9" w14:paraId="7992A59B" w14:textId="77777777">
            <w:pPr>
              <w:keepNext/>
              <w:widowControl w:val="false"/>
              <w:spacing w:after="0" w:line="240" w:lineRule="auto"/>
              <w:jc w:val="center"/>
              <w:rPr>
                <w:b/>
              </w:rPr>
            </w:pPr>
            <w:r>
              <w:rPr>
                <w:b/>
              </w:rPr>
              <w:t>CDBG</w:t>
            </w:r>
          </w:p>
        </w:tc>
        <w:tc>
          <w:tcPr>
            <w:tcW w:w="900" w:type="dxa"/>
          </w:tcPr>
          <w:p w:rsidR="00FE3457" w:rsidRDefault="005268B9" w14:paraId="137AAEC8" w14:textId="77777777">
            <w:pPr>
              <w:keepNext/>
              <w:widowControl w:val="false"/>
              <w:spacing w:after="0" w:line="240" w:lineRule="auto"/>
              <w:jc w:val="center"/>
              <w:rPr>
                <w:b/>
              </w:rPr>
            </w:pPr>
            <w:r>
              <w:rPr>
                <w:b/>
              </w:rPr>
              <w:t>HOME</w:t>
            </w:r>
          </w:p>
        </w:tc>
        <w:tc>
          <w:tcPr>
            <w:tcW w:w="720" w:type="dxa"/>
          </w:tcPr>
          <w:p w:rsidR="00FE3457" w:rsidRDefault="005268B9" w14:paraId="32E3783F" w14:textId="77777777">
            <w:pPr>
              <w:keepNext/>
              <w:widowControl w:val="false"/>
              <w:spacing w:after="0" w:line="240" w:lineRule="auto"/>
              <w:rPr>
                <w:b/>
              </w:rPr>
            </w:pPr>
            <w:r>
              <w:rPr>
                <w:b/>
              </w:rPr>
              <w:t>ESG</w:t>
            </w:r>
          </w:p>
        </w:tc>
        <w:tc>
          <w:tcPr>
            <w:tcW w:w="990" w:type="dxa"/>
          </w:tcPr>
          <w:p w:rsidR="00FE3457" w:rsidRDefault="005268B9" w14:paraId="3BE60886" w14:textId="77777777">
            <w:pPr>
              <w:keepNext/>
              <w:widowControl w:val="false"/>
              <w:spacing w:after="0" w:line="240" w:lineRule="auto"/>
              <w:jc w:val="center"/>
              <w:rPr>
                <w:b/>
              </w:rPr>
            </w:pPr>
            <w:r>
              <w:rPr>
                <w:b/>
              </w:rPr>
              <w:t>HOPWA</w:t>
            </w:r>
          </w:p>
        </w:tc>
        <w:tc>
          <w:tcPr>
            <w:tcW w:w="720" w:type="dxa"/>
          </w:tcPr>
          <w:p w:rsidR="00FE3457" w:rsidRDefault="005268B9" w14:paraId="7D449044" w14:textId="77777777">
            <w:pPr>
              <w:keepNext/>
              <w:widowControl w:val="false"/>
              <w:spacing w:after="0" w:line="240" w:lineRule="auto"/>
              <w:jc w:val="center"/>
              <w:rPr>
                <w:b/>
              </w:rPr>
            </w:pPr>
            <w:r>
              <w:rPr>
                <w:b/>
              </w:rPr>
              <w:t>HTF</w:t>
            </w:r>
          </w:p>
        </w:tc>
      </w:tr>
      <w:tr>
        <w:trPr>
          <w:cantSplit w:val="true"/>
        </w:trPr>
        <w:tc>
          <w:tcPr>
            <w:vAlign w:val="center"/>
          </w:tcPr>
          <w:p>
            <w:pPr>
              <w:spacing w:beforeAutospacing="true" w:afterAutospacing="true"/>
              <w:jc w:val="left"/>
            </w:pPr>
            <w:r>
              <w:rPr>
                <w:rFonts w:ascii="Arial" w:hAnsi="Arial"/>
                <w:color w:val="25396e"/>
                <w:sz w:val="16"/>
              </w:rPr>
              <w:t xml:space="preserve">Outreach efforts to generate job applicants who are Public Housing Targeted Workers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Outreach efforts to generate job applicants who are Other Funding Targeted Workers.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Direct, on-the job training (including apprenticeships).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Indirect training such as arranging for, contracting for, or paying tuition for, off-site training.</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Technical assistance to help Section 3 workers compete for jobs (e.g., resume assistance, coaching).</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Outreach efforts to identify and secure bids from Section 3 business concerns.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Technical assistance to help Section 3 business concerns understand and bid on contracts.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Division of contracts into smaller jobs to facilitate participation by Section 3 business concerns.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Provided or connected residents with assistance in seeking employment including: drafting resumes,preparing for interviews, finding job opportunities, connecting residents to job placement services.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Held one or more job fairs.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Provided or connected residents with supportive services that can provide direct services or referrals.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Provided or connected residents with supportive services that provide one or more of the following: work readiness health screenings, interview clothing, uniforms, test fees, transportation.</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Assisted residents with finding child care.</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Assisted residents to apply for, or attend community college or a four year educational institution.</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Assisted residents to apply for, or attend vocational/technical training.</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Assisted residents to obtain financial literacy training and/or coaching.</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Bonding assistance, guaranties, or other efforts to support viable bids from Section 3 business concerns.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Provided or connected residents with training on computer use or online technologies.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Promoting the use of a business registry designed to create opportunities for disadvantaged and small businesses.</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Outreach, engagement, or referrals with the state one-stop system, as designed in Section 121(e)(2) of the Workforce Innovation and Opportunity Act.</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r>
        <w:trPr>
          <w:cantSplit w:val="true"/>
        </w:trPr>
        <w:tc>
          <w:tcPr>
            <w:vAlign w:val="center"/>
          </w:tcPr>
          <w:p>
            <w:pPr>
              <w:spacing w:beforeAutospacing="true" w:afterAutospacing="true"/>
              <w:jc w:val="left"/>
            </w:pPr>
            <w:r>
              <w:rPr>
                <w:rFonts w:ascii="Arial" w:hAnsi="Arial"/>
                <w:color w:val="25396e"/>
                <w:sz w:val="16"/>
              </w:rPr>
              <w:t xml:space="preserve">Other.</w:t>
            </w:r>
          </w:p>
        </w:tc>
        <w:tc>
          <w:tcPr>
            <w:vAlign w:val="center"/>
          </w:tcPr>
          <w:p>
            <w:pPr>
              <w:spacing w:beforeAutospacing="true" w:afterAutospacing="true"/>
              <w:jc w:val="right"/>
            </w:pPr>
            <w:r>
              <w:rPr>
                <w:rFonts w:ascii="Arial" w:hAnsi="Arial"/>
                <w:color w:val="000000"/>
                <w:sz w:val="16"/>
              </w:rPr>
              <w:t xml:space="preserve">2</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c>
          <w:tcPr>
            <w:vAlign w:val="center"/>
          </w:tcPr>
          <w:p>
            <w:pPr>
              <w:spacing w:beforeAutospacing="true" w:afterAutospacing="true"/>
              <w:jc w:val="right"/>
            </w:pPr>
            <w:r>
              <w:rPr>
                <w:rFonts w:ascii="Arial" w:hAnsi="Arial"/>
                <w:color w:val="000000"/>
                <w:sz w:val="16"/>
              </w:rPr>
              <w:t xml:space="preserve"> </w:t>
            </w:r>
          </w:p>
        </w:tc>
      </w:tr>
    </w:tbl>
    <w:p w:rsidR="00FE3457" w:rsidRDefault="005268B9" w14:paraId="2A56F3DB" w14:textId="7777777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16</w:t>
      </w:r>
      <w:r>
        <w:rPr>
          <w:rFonts w:asciiTheme="minorHAnsi" w:hAnsiTheme="minorHAnsi"/>
        </w:rPr>
        <w:fldChar w:fldCharType="end"/>
      </w:r>
      <w:r>
        <w:rPr>
          <w:rFonts w:asciiTheme="minorHAnsi" w:hAnsiTheme="minorHAnsi"/>
        </w:rPr>
        <w:t xml:space="preserve"> – Qualitative Efforts - Number of Activities by Program</w:t>
      </w:r>
    </w:p>
    <w:p w:rsidR="00FE3457" w:rsidRDefault="00FE3457" w14:paraId="42DC095F" w14:textId="77777777">
      <w:pPr>
        <w:widowControl w:val="false"/>
        <w:rPr>
          <w:b/>
          <w:sz w:val="24"/>
          <w:szCs w:val="24"/>
        </w:rPr>
      </w:pPr>
    </w:p>
    <w:p w:rsidR="00FE3457" w:rsidRDefault="005268B9" w14:paraId="1CE653B0" w14:textId="77777777">
      <w:pPr>
        <w:widowControl w:val="false"/>
        <w:rPr>
          <w:b/>
          <w:sz w:val="24"/>
          <w:szCs w:val="24"/>
        </w:rPr>
      </w:pPr>
      <w:r>
        <w:rPr>
          <w:b/>
          <w:sz w:val="24"/>
          <w:szCs w:val="24"/>
        </w:rPr>
        <w:t>Narrative</w:t>
      </w:r>
    </w:p>
    <w:p w:rsidR="00FE3457" w:rsidRDefault="005268B9" w14:paraId="35AF2EDE" w14:textId="77777777">
      <w:pPr>
        <w:widowControl w:val="false"/>
        <w:rPr>
          <w:rFonts w:cs="Arial"/>
        </w:rPr>
      </w:pPr>
      <w:r>
        <w:rPr>
          <w:rFonts w:cs="Arial"/>
        </w:rPr>
      </w:r>
    </w:p>
    <w:p w:rsidR="00FE3457" w:rsidRDefault="00FE3457" w14:paraId="0D6FC255" w14:textId="77777777"/>
    <w:p w:rsidR="00FE3457" w:rsidP="0B421CA2" w:rsidRDefault="005268B9" w14:paraId="5DCE9405" w14:textId="69FF8F71">
      <w:pPr>
        <w:pStyle w:val="Heading2"/>
        <w:rPr>
          <w:i w:val="false"/>
          <w:iCs w:val="false"/>
        </w:rPr>
      </w:pPr>
    </w:p>
    <w:p w:rsidR="00FE3457" w:rsidP="0B421CA2" w:rsidRDefault="005268B9" w14:paraId="098EA8F7" w14:textId="70E653D3">
      <w:pPr>
        <w:pStyle w:val="Heading2"/>
        <w:rPr>
          <w:i w:val="false"/>
          <w:iCs w:val="false"/>
        </w:rPr>
      </w:pPr>
    </w:p>
    <w:p w:rsidR="00FE3457" w:rsidP="0B421CA2" w:rsidRDefault="005268B9" w14:paraId="12F5736D" w14:textId="2F0C531A">
      <w:pPr>
        <w:pStyle w:val="Heading2"/>
        <w:rPr>
          <w:i w:val="false"/>
          <w:iCs w:val="false"/>
        </w:rPr>
      </w:pPr>
      <w:r w:rsidRPr="0B421CA2" w:rsidR="005268B9">
        <w:rPr>
          <w:i w:val="false"/>
          <w:iCs w:val="false"/>
        </w:rPr>
        <w:t>CR-60 - ESG 91.520(g) (ESG Recipients only)</w:t>
      </w:r>
    </w:p>
    <w:p w:rsidR="00FE3457" w:rsidRDefault="005268B9" w14:paraId="09DD379D" w14:textId="77777777">
      <w:pPr>
        <w:jc w:val="center"/>
        <w:rPr>
          <w:b/>
          <w:sz w:val="24"/>
          <w:szCs w:val="24"/>
        </w:rPr>
      </w:pPr>
      <w:r>
        <w:rPr>
          <w:b/>
          <w:sz w:val="24"/>
          <w:szCs w:val="24"/>
        </w:rPr>
        <w:t xml:space="preserve">ESG Supplement to the CAPER in </w:t>
      </w:r>
      <w:r>
        <w:rPr>
          <w:b/>
          <w:i/>
          <w:sz w:val="24"/>
          <w:szCs w:val="24"/>
        </w:rPr>
        <w:t>e-snaps</w:t>
      </w:r>
    </w:p>
    <w:p w:rsidR="00FE3457" w:rsidRDefault="005268B9" w14:paraId="3C233DB9" w14:textId="77777777">
      <w:pPr>
        <w:jc w:val="center"/>
        <w:rPr>
          <w:b/>
          <w:sz w:val="24"/>
          <w:szCs w:val="24"/>
        </w:rPr>
      </w:pPr>
      <w:r>
        <w:rPr>
          <w:b/>
          <w:sz w:val="24"/>
          <w:szCs w:val="24"/>
        </w:rPr>
        <w:t>For Paperwork Reduction Act</w:t>
      </w:r>
    </w:p>
    <w:p w:rsidR="00FE3457" w:rsidRDefault="005268B9" w14:paraId="4C048FB6" w14:textId="77777777">
      <w:pPr>
        <w:widowControl w:val="false"/>
        <w:spacing w:after="0" w:line="240" w:lineRule="auto"/>
        <w:rPr>
          <w:b/>
          <w:sz w:val="24"/>
          <w:szCs w:val="24"/>
        </w:rPr>
      </w:pPr>
      <w:r>
        <w:rPr>
          <w:b/>
          <w:sz w:val="24"/>
          <w:szCs w:val="24"/>
        </w:rPr>
        <w:t>1. Recipient Information—All Recipients Complete</w:t>
      </w:r>
    </w:p>
    <w:p w:rsidR="00FE3457" w:rsidRDefault="005268B9" w14:paraId="50AD75C2" w14:textId="77777777">
      <w:pPr>
        <w:widowControl w:val="false"/>
        <w:spacing w:after="0" w:line="240" w:lineRule="auto"/>
        <w:rPr>
          <w:b/>
          <w:u w:val="single"/>
        </w:rPr>
      </w:pPr>
      <w:r>
        <w:rPr>
          <w:b/>
          <w:u w:val="single"/>
        </w:rPr>
        <w:t>Basic Grant Information</w:t>
      </w: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2A1C9FC4" w14:textId="77777777">
        <w:trPr>
          <w:cantSplit/>
        </w:trPr>
        <w:tc>
          <w:tcPr>
            <w:tcW w:w="4320" w:type="dxa"/>
          </w:tcPr>
          <w:p w:rsidR="00FE3457" w:rsidRDefault="005268B9" w14:paraId="139A5EB9" w14:textId="77777777">
            <w:pPr>
              <w:tabs>
                <w:tab w:val="left" w:pos="2070"/>
              </w:tabs>
              <w:spacing w:after="0" w:line="240" w:lineRule="auto"/>
              <w:ind w:right="162"/>
            </w:pPr>
            <w:r>
              <w:rPr>
                <w:b/>
                <w:bCs/>
              </w:rPr>
              <w:t>Recipient Name</w:t>
            </w:r>
          </w:p>
        </w:tc>
        <w:tc>
          <w:tcPr>
            <w:tcW w:w="5270" w:type="dxa"/>
          </w:tcPr>
          <w:p>
            <w:pPr>
              <w:widowControl w:val="false"/>
              <w:spacing w:beforeAutospacing="true" w:afterAutospacing="true"/>
              <w:rPr>
                <w:rFonts w:cs="Arial"/>
              </w:rPr>
            </w:pPr>
            <w:r>
              <w:rPr>
                <w:rFonts w:cs="Arial"/>
              </w:rPr>
              <w:t xml:space="preserve">CHARLESTON</w:t>
            </w:r>
          </w:p>
        </w:tc>
      </w:tr>
    </w:tbl>
    <w:p w:rsidR="00FE3457" w:rsidRDefault="00FE3457" w14:paraId="4823D41C"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7362450F" w14:textId="77777777">
        <w:trPr>
          <w:cantSplit/>
        </w:trPr>
        <w:tc>
          <w:tcPr>
            <w:tcW w:w="4320" w:type="dxa"/>
          </w:tcPr>
          <w:p w:rsidR="00FE3457" w:rsidRDefault="005268B9" w14:paraId="5A6888EC" w14:textId="77777777">
            <w:pPr>
              <w:tabs>
                <w:tab w:val="left" w:pos="2070"/>
              </w:tabs>
              <w:spacing w:after="0" w:line="240" w:lineRule="auto"/>
              <w:ind w:right="162"/>
            </w:pPr>
            <w:r>
              <w:rPr>
                <w:b/>
                <w:bCs/>
              </w:rPr>
              <w:t>Organizational DUNS Number</w:t>
            </w:r>
          </w:p>
        </w:tc>
        <w:tc>
          <w:tcPr>
            <w:tcW w:w="5270" w:type="dxa"/>
          </w:tcPr>
          <w:p>
            <w:pPr>
              <w:widowControl w:val="false"/>
              <w:spacing w:beforeAutospacing="true" w:afterAutospacing="true"/>
              <w:rPr>
                <w:rFonts w:cs="Arial"/>
              </w:rPr>
            </w:pPr>
            <w:r>
              <w:rPr>
                <w:rFonts w:cs="Arial"/>
              </w:rPr>
              <w:t xml:space="preserve">068128198</w:t>
            </w:r>
          </w:p>
        </w:tc>
      </w:tr>
    </w:tbl>
    <w:p w:rsidR="00FE3457" w:rsidRDefault="00FE3457" w14:paraId="256E56B6"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5FF2312B" w14:textId="77777777">
        <w:trPr>
          <w:cantSplit/>
        </w:trPr>
        <w:tc>
          <w:tcPr>
            <w:tcW w:w="4320" w:type="dxa"/>
            <w:hideMark/>
          </w:tcPr>
          <w:p w:rsidR="00FE3457" w:rsidRDefault="005268B9" w14:paraId="11B38CF9" w14:textId="77777777">
            <w:pPr>
              <w:tabs>
                <w:tab w:val="left" w:pos="2070"/>
              </w:tabs>
              <w:spacing w:after="0" w:line="240" w:lineRule="auto"/>
              <w:ind w:right="162"/>
            </w:pPr>
            <w:r>
              <w:rPr>
                <w:b/>
                <w:bCs/>
              </w:rPr>
              <w:t>UEI</w:t>
            </w:r>
          </w:p>
        </w:tc>
        <w:tc>
          <w:tcPr>
            <w:tcW w:w="5270" w:type="dxa"/>
            <w:hideMark/>
          </w:tcPr>
          <w:p w:rsidR="00FE3457" w:rsidRDefault="005268B9" w14:paraId="0A5EEC24" w14:textId="77777777">
            <w:pPr>
              <w:widowControl w:val="false"/>
              <w:spacing w:after="0" w:line="240" w:lineRule="auto"/>
              <w:rPr>
                <w:rFonts w:cs="Arial"/>
              </w:rPr>
            </w:pPr>
            <w:r>
              <w:rPr>
                <w:rFonts w:cs="Arial"/>
              </w:rPr>
            </w:r>
          </w:p>
        </w:tc>
      </w:tr>
    </w:tbl>
    <w:p w:rsidR="00FE3457" w:rsidRDefault="00FE3457" w14:paraId="3E05DC03"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18166672" w14:textId="77777777">
        <w:trPr>
          <w:cantSplit/>
        </w:trPr>
        <w:tc>
          <w:tcPr>
            <w:tcW w:w="4320" w:type="dxa"/>
          </w:tcPr>
          <w:p w:rsidR="00FE3457" w:rsidRDefault="005268B9" w14:paraId="67146164" w14:textId="77777777">
            <w:pPr>
              <w:tabs>
                <w:tab w:val="left" w:pos="2070"/>
              </w:tabs>
              <w:spacing w:after="0" w:line="240" w:lineRule="auto"/>
              <w:ind w:right="162"/>
            </w:pPr>
            <w:r>
              <w:rPr>
                <w:b/>
                <w:bCs/>
              </w:rPr>
              <w:t>EIN/TIN Number</w:t>
            </w:r>
          </w:p>
        </w:tc>
        <w:tc>
          <w:tcPr>
            <w:tcW w:w="5270" w:type="dxa"/>
          </w:tcPr>
          <w:p>
            <w:pPr>
              <w:widowControl w:val="false"/>
              <w:spacing w:beforeAutospacing="true" w:afterAutospacing="true"/>
              <w:rPr>
                <w:rFonts w:cs="Arial"/>
              </w:rPr>
            </w:pPr>
            <w:r>
              <w:rPr>
                <w:rFonts w:cs="Arial"/>
              </w:rPr>
              <w:t xml:space="preserve">556000160</w:t>
            </w:r>
          </w:p>
        </w:tc>
      </w:tr>
    </w:tbl>
    <w:p w:rsidR="00FE3457" w:rsidRDefault="00FE3457" w14:paraId="7C72859A"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7F1EBC37" w14:textId="77777777">
        <w:trPr>
          <w:cantSplit/>
        </w:trPr>
        <w:tc>
          <w:tcPr>
            <w:tcW w:w="4320" w:type="dxa"/>
          </w:tcPr>
          <w:p w:rsidR="00FE3457" w:rsidRDefault="005268B9" w14:paraId="754A3770" w14:textId="77777777">
            <w:pPr>
              <w:tabs>
                <w:tab w:val="left" w:pos="2070"/>
              </w:tabs>
              <w:spacing w:after="0" w:line="240" w:lineRule="auto"/>
              <w:ind w:right="162"/>
            </w:pPr>
            <w:r>
              <w:rPr>
                <w:b/>
                <w:bCs/>
              </w:rPr>
              <w:t>Indentify the Field Office</w:t>
            </w:r>
          </w:p>
        </w:tc>
        <w:tc>
          <w:tcPr>
            <w:tcW w:w="5270" w:type="dxa"/>
          </w:tcPr>
          <w:p>
            <w:pPr>
              <w:widowControl w:val="false"/>
              <w:spacing w:beforeAutospacing="true" w:afterAutospacing="true"/>
              <w:rPr>
                <w:rFonts w:cs="Arial"/>
              </w:rPr>
            </w:pPr>
            <w:r>
              <w:rPr>
                <w:rFonts w:cs="Arial"/>
              </w:rPr>
              <w:t xml:space="preserve">PITTSBURGH</w:t>
            </w:r>
          </w:p>
        </w:tc>
      </w:tr>
    </w:tbl>
    <w:p w:rsidR="00FE3457" w:rsidRDefault="00FE3457" w14:paraId="48D8542A"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28BFA76D" w14:textId="77777777">
        <w:trPr>
          <w:cantSplit/>
        </w:trPr>
        <w:tc>
          <w:tcPr>
            <w:tcW w:w="4320" w:type="dxa"/>
          </w:tcPr>
          <w:p w:rsidR="00FE3457" w:rsidRDefault="005268B9" w14:paraId="1EB9897F" w14:textId="77777777">
            <w:pPr>
              <w:tabs>
                <w:tab w:val="left" w:pos="2070"/>
              </w:tabs>
              <w:spacing w:after="0" w:line="240" w:lineRule="auto"/>
              <w:ind w:right="162"/>
            </w:pPr>
            <w:r>
              <w:rPr>
                <w:b/>
                <w:bCs/>
              </w:rPr>
              <w:t>Identify CoC(s) in which the recipient or subrecipient(s) will provide ESG assistance</w:t>
            </w:r>
          </w:p>
        </w:tc>
        <w:tc>
          <w:tcPr>
            <w:tcW w:w="5270" w:type="dxa"/>
          </w:tcPr>
          <w:p w:rsidR="00FE3457" w:rsidRDefault="005268B9" w14:paraId="6F058F90" w14:textId="77777777">
            <w:pPr>
              <w:widowControl w:val="false"/>
              <w:spacing w:after="0" w:line="240" w:lineRule="auto"/>
              <w:rPr>
                <w:rFonts w:cs="Arial"/>
              </w:rPr>
            </w:pPr>
          </w:p>
        </w:tc>
      </w:tr>
    </w:tbl>
    <w:p w:rsidR="00FE3457" w:rsidRDefault="00FE3457" w14:paraId="6C835F51" w14:textId="77777777">
      <w:pPr>
        <w:widowControl w:val="false"/>
        <w:spacing w:after="0" w:line="240" w:lineRule="auto"/>
        <w:rPr>
          <w:b/>
          <w:sz w:val="24"/>
          <w:szCs w:val="24"/>
        </w:rPr>
      </w:pPr>
    </w:p>
    <w:p w:rsidR="00FE3457" w:rsidRDefault="005268B9" w14:paraId="23CFD171" w14:textId="77777777">
      <w:pPr>
        <w:pStyle w:val="NoSpacing"/>
        <w:keepNext/>
        <w:rPr>
          <w:b/>
          <w:u w:val="single"/>
        </w:rPr>
      </w:pPr>
      <w:r>
        <w:rPr>
          <w:b/>
          <w:u w:val="single"/>
        </w:rPr>
        <w:t xml:space="preserve">ESG Contact Name </w:t>
      </w: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3C535D79" w14:textId="77777777">
        <w:trPr>
          <w:cantSplit/>
        </w:trPr>
        <w:tc>
          <w:tcPr>
            <w:tcW w:w="4320" w:type="dxa"/>
          </w:tcPr>
          <w:p w:rsidR="00FE3457" w:rsidRDefault="005268B9" w14:paraId="070072F2" w14:textId="77777777">
            <w:pPr>
              <w:keepNext/>
              <w:tabs>
                <w:tab w:val="left" w:pos="2070"/>
              </w:tabs>
              <w:spacing w:after="0" w:line="240" w:lineRule="auto"/>
              <w:ind w:right="162"/>
            </w:pPr>
            <w:r>
              <w:rPr>
                <w:b/>
                <w:bCs/>
              </w:rPr>
              <w:t>Prefix</w:t>
            </w:r>
          </w:p>
        </w:tc>
        <w:tc>
          <w:tcPr>
            <w:tcW w:w="5270" w:type="dxa"/>
          </w:tcPr>
          <w:p w:rsidR="00FE3457" w:rsidRDefault="005268B9" w14:paraId="09BACAE4" w14:textId="77777777">
            <w:pPr>
              <w:keepNext/>
              <w:widowControl w:val="false"/>
              <w:spacing w:after="0" w:line="240" w:lineRule="auto"/>
              <w:rPr>
                <w:rFonts w:cs="Arial"/>
              </w:rPr>
            </w:pPr>
          </w:p>
        </w:tc>
      </w:tr>
    </w:tbl>
    <w:p w:rsidR="00FE3457" w:rsidRDefault="00FE3457" w14:paraId="01654B64"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1C9ECD16" w14:textId="77777777">
        <w:trPr>
          <w:cantSplit/>
        </w:trPr>
        <w:tc>
          <w:tcPr>
            <w:tcW w:w="4320" w:type="dxa"/>
          </w:tcPr>
          <w:p w:rsidR="00FE3457" w:rsidRDefault="005268B9" w14:paraId="3705519F" w14:textId="77777777">
            <w:pPr>
              <w:tabs>
                <w:tab w:val="left" w:pos="2070"/>
              </w:tabs>
              <w:spacing w:after="0" w:line="240" w:lineRule="auto"/>
              <w:ind w:right="162"/>
            </w:pPr>
            <w:r>
              <w:rPr>
                <w:b/>
                <w:bCs/>
              </w:rPr>
              <w:t>First Name</w:t>
            </w:r>
          </w:p>
        </w:tc>
        <w:tc>
          <w:tcPr>
            <w:tcW w:w="5270" w:type="dxa"/>
          </w:tcPr>
          <w:p w:rsidR="00FE3457" w:rsidRDefault="005268B9" w14:paraId="62137482" w14:textId="77777777">
            <w:pPr>
              <w:widowControl w:val="false"/>
              <w:spacing w:after="0" w:line="240" w:lineRule="auto"/>
              <w:rPr>
                <w:rFonts w:cs="Arial"/>
                <w:highlight w:val="yellow"/>
              </w:rPr>
            </w:pPr>
          </w:p>
        </w:tc>
      </w:tr>
    </w:tbl>
    <w:p w:rsidR="00FE3457" w:rsidRDefault="00FE3457" w14:paraId="3F784C44"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075C665E" w14:textId="77777777">
        <w:trPr>
          <w:cantSplit/>
        </w:trPr>
        <w:tc>
          <w:tcPr>
            <w:tcW w:w="4320" w:type="dxa"/>
          </w:tcPr>
          <w:p w:rsidR="00FE3457" w:rsidRDefault="005268B9" w14:paraId="6C1D1476" w14:textId="77777777">
            <w:pPr>
              <w:tabs>
                <w:tab w:val="left" w:pos="2070"/>
              </w:tabs>
              <w:spacing w:after="0" w:line="240" w:lineRule="auto"/>
              <w:ind w:right="162"/>
            </w:pPr>
            <w:r>
              <w:rPr>
                <w:b/>
                <w:bCs/>
              </w:rPr>
              <w:t>Middle Name</w:t>
            </w:r>
          </w:p>
        </w:tc>
        <w:tc>
          <w:tcPr>
            <w:tcW w:w="5270" w:type="dxa"/>
          </w:tcPr>
          <w:p w:rsidR="00FE3457" w:rsidRDefault="005268B9" w14:paraId="3E75A316" w14:textId="77777777">
            <w:pPr>
              <w:widowControl w:val="false"/>
              <w:spacing w:after="0" w:line="240" w:lineRule="auto"/>
              <w:rPr>
                <w:rFonts w:cs="Arial"/>
                <w:highlight w:val="yellow"/>
              </w:rPr>
            </w:pPr>
          </w:p>
        </w:tc>
      </w:tr>
    </w:tbl>
    <w:p w:rsidR="00FE3457" w:rsidRDefault="00FE3457" w14:paraId="6AE3613C"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1AB511A4" w14:textId="77777777">
        <w:trPr>
          <w:cantSplit/>
        </w:trPr>
        <w:tc>
          <w:tcPr>
            <w:tcW w:w="4320" w:type="dxa"/>
          </w:tcPr>
          <w:p w:rsidR="00FE3457" w:rsidRDefault="005268B9" w14:paraId="21CC5A3A" w14:textId="77777777">
            <w:pPr>
              <w:tabs>
                <w:tab w:val="left" w:pos="2070"/>
              </w:tabs>
              <w:spacing w:after="0" w:line="240" w:lineRule="auto"/>
              <w:ind w:right="162"/>
            </w:pPr>
            <w:r>
              <w:rPr>
                <w:b/>
                <w:bCs/>
              </w:rPr>
              <w:t>Last Name</w:t>
            </w:r>
          </w:p>
        </w:tc>
        <w:tc>
          <w:tcPr>
            <w:tcW w:w="5270" w:type="dxa"/>
          </w:tcPr>
          <w:p w:rsidR="00FE3457" w:rsidRDefault="005268B9" w14:paraId="4965B2D8" w14:textId="77777777">
            <w:pPr>
              <w:widowControl w:val="false"/>
              <w:spacing w:after="0" w:line="240" w:lineRule="auto"/>
              <w:rPr>
                <w:rFonts w:cs="Arial"/>
                <w:highlight w:val="yellow"/>
              </w:rPr>
            </w:pPr>
          </w:p>
        </w:tc>
      </w:tr>
    </w:tbl>
    <w:p w:rsidR="00FE3457" w:rsidRDefault="00FE3457" w14:paraId="6C7766DD"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22EC11B7" w14:textId="77777777">
        <w:trPr>
          <w:cantSplit/>
        </w:trPr>
        <w:tc>
          <w:tcPr>
            <w:tcW w:w="4320" w:type="dxa"/>
          </w:tcPr>
          <w:p w:rsidR="00FE3457" w:rsidRDefault="005268B9" w14:paraId="4F3FE26E" w14:textId="77777777">
            <w:pPr>
              <w:tabs>
                <w:tab w:val="left" w:pos="2070"/>
              </w:tabs>
              <w:spacing w:after="0" w:line="240" w:lineRule="auto"/>
              <w:ind w:right="162"/>
            </w:pPr>
            <w:r>
              <w:rPr>
                <w:b/>
                <w:bCs/>
              </w:rPr>
              <w:t>Suffix</w:t>
            </w:r>
          </w:p>
        </w:tc>
        <w:tc>
          <w:tcPr>
            <w:tcW w:w="5270" w:type="dxa"/>
          </w:tcPr>
          <w:p w:rsidR="00FE3457" w:rsidRDefault="005268B9" w14:paraId="57625DB7" w14:textId="77777777">
            <w:pPr>
              <w:widowControl w:val="false"/>
              <w:spacing w:after="0" w:line="240" w:lineRule="auto"/>
              <w:rPr>
                <w:rFonts w:cs="Arial"/>
                <w:highlight w:val="yellow"/>
              </w:rPr>
            </w:pPr>
          </w:p>
        </w:tc>
      </w:tr>
    </w:tbl>
    <w:p w:rsidR="00FE3457" w:rsidRDefault="00FE3457" w14:paraId="0C4D61FE"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76C63484" w14:textId="77777777">
        <w:trPr>
          <w:cantSplit/>
        </w:trPr>
        <w:tc>
          <w:tcPr>
            <w:tcW w:w="4320" w:type="dxa"/>
          </w:tcPr>
          <w:p w:rsidR="00FE3457" w:rsidRDefault="005268B9" w14:paraId="59AD10AE" w14:textId="77777777">
            <w:pPr>
              <w:tabs>
                <w:tab w:val="left" w:pos="2070"/>
              </w:tabs>
              <w:spacing w:after="0" w:line="240" w:lineRule="auto"/>
              <w:ind w:right="162"/>
            </w:pPr>
            <w:r>
              <w:rPr>
                <w:b/>
                <w:bCs/>
              </w:rPr>
              <w:t>Title</w:t>
            </w:r>
          </w:p>
        </w:tc>
        <w:tc>
          <w:tcPr>
            <w:tcW w:w="5270" w:type="dxa"/>
          </w:tcPr>
          <w:p w:rsidR="00FE3457" w:rsidRDefault="005268B9" w14:paraId="40A37390" w14:textId="77777777">
            <w:pPr>
              <w:widowControl w:val="false"/>
              <w:spacing w:after="0" w:line="240" w:lineRule="auto"/>
              <w:rPr>
                <w:rFonts w:cs="Arial"/>
                <w:highlight w:val="yellow"/>
              </w:rPr>
            </w:pPr>
          </w:p>
        </w:tc>
      </w:tr>
    </w:tbl>
    <w:p w:rsidR="00FE3457" w:rsidRDefault="00FE3457" w14:paraId="5438CDC7" w14:textId="77777777">
      <w:pPr>
        <w:widowControl w:val="false"/>
        <w:spacing w:after="0" w:line="240" w:lineRule="auto"/>
        <w:rPr>
          <w:b/>
          <w:sz w:val="24"/>
          <w:szCs w:val="24"/>
        </w:rPr>
      </w:pPr>
    </w:p>
    <w:p w:rsidR="00FE3457" w:rsidRDefault="005268B9" w14:paraId="0644B019" w14:textId="77777777">
      <w:pPr>
        <w:widowControl w:val="false"/>
        <w:spacing w:after="0" w:line="240" w:lineRule="auto"/>
        <w:rPr>
          <w:b/>
          <w:u w:val="single"/>
        </w:rPr>
      </w:pPr>
      <w:r>
        <w:rPr>
          <w:b/>
          <w:u w:val="single"/>
        </w:rPr>
        <w:t>ESG Contact Address</w:t>
      </w: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75DA68C5" w14:textId="77777777">
        <w:trPr>
          <w:cantSplit/>
        </w:trPr>
        <w:tc>
          <w:tcPr>
            <w:tcW w:w="4320" w:type="dxa"/>
          </w:tcPr>
          <w:p w:rsidR="00FE3457" w:rsidRDefault="005268B9" w14:paraId="148DA44A" w14:textId="77777777">
            <w:pPr>
              <w:keepNext/>
              <w:tabs>
                <w:tab w:val="left" w:pos="2070"/>
              </w:tabs>
              <w:spacing w:after="0" w:line="240" w:lineRule="auto"/>
              <w:ind w:right="162"/>
            </w:pPr>
            <w:r>
              <w:rPr>
                <w:b/>
                <w:bCs/>
              </w:rPr>
              <w:t>Street Address 1</w:t>
            </w:r>
          </w:p>
        </w:tc>
        <w:tc>
          <w:tcPr>
            <w:tcW w:w="5270" w:type="dxa"/>
          </w:tcPr>
          <w:p w:rsidR="00FE3457" w:rsidRDefault="005268B9" w14:paraId="2B62BDE0" w14:textId="77777777">
            <w:pPr>
              <w:keepNext/>
              <w:widowControl w:val="false"/>
              <w:spacing w:after="0" w:line="240" w:lineRule="auto"/>
              <w:rPr>
                <w:rFonts w:cs="Arial"/>
              </w:rPr>
            </w:pPr>
          </w:p>
        </w:tc>
      </w:tr>
    </w:tbl>
    <w:p w:rsidR="00FE3457" w:rsidRDefault="00FE3457" w14:paraId="5A32EA57"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56785232" w14:textId="77777777">
        <w:trPr>
          <w:cantSplit/>
        </w:trPr>
        <w:tc>
          <w:tcPr>
            <w:tcW w:w="4320" w:type="dxa"/>
          </w:tcPr>
          <w:p w:rsidR="00FE3457" w:rsidRDefault="005268B9" w14:paraId="5569DBB7" w14:textId="77777777">
            <w:pPr>
              <w:tabs>
                <w:tab w:val="left" w:pos="2070"/>
              </w:tabs>
              <w:spacing w:after="0" w:line="240" w:lineRule="auto"/>
              <w:ind w:right="162"/>
            </w:pPr>
            <w:r>
              <w:rPr>
                <w:b/>
                <w:bCs/>
              </w:rPr>
              <w:t>Street Address 2</w:t>
            </w:r>
          </w:p>
        </w:tc>
        <w:tc>
          <w:tcPr>
            <w:tcW w:w="5270" w:type="dxa"/>
          </w:tcPr>
          <w:p w:rsidR="00FE3457" w:rsidRDefault="005268B9" w14:paraId="63B417BD" w14:textId="77777777">
            <w:pPr>
              <w:widowControl w:val="false"/>
              <w:spacing w:after="0" w:line="240" w:lineRule="auto"/>
              <w:rPr>
                <w:rFonts w:cs="Arial"/>
                <w:highlight w:val="yellow"/>
              </w:rPr>
            </w:pPr>
          </w:p>
        </w:tc>
      </w:tr>
    </w:tbl>
    <w:p w:rsidR="00FE3457" w:rsidRDefault="00FE3457" w14:paraId="28024822"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151ABC78" w14:textId="77777777">
        <w:trPr>
          <w:cantSplit/>
        </w:trPr>
        <w:tc>
          <w:tcPr>
            <w:tcW w:w="4320" w:type="dxa"/>
          </w:tcPr>
          <w:p w:rsidR="00FE3457" w:rsidRDefault="005268B9" w14:paraId="5218F130" w14:textId="77777777">
            <w:pPr>
              <w:tabs>
                <w:tab w:val="left" w:pos="2070"/>
              </w:tabs>
              <w:spacing w:after="0" w:line="240" w:lineRule="auto"/>
              <w:ind w:right="162"/>
            </w:pPr>
            <w:r>
              <w:rPr>
                <w:b/>
                <w:bCs/>
              </w:rPr>
              <w:t>City</w:t>
            </w:r>
          </w:p>
        </w:tc>
        <w:tc>
          <w:tcPr>
            <w:tcW w:w="5270" w:type="dxa"/>
          </w:tcPr>
          <w:p w:rsidR="00FE3457" w:rsidRDefault="005268B9" w14:paraId="171A58E8" w14:textId="77777777">
            <w:pPr>
              <w:widowControl w:val="false"/>
              <w:spacing w:after="0" w:line="240" w:lineRule="auto"/>
              <w:rPr>
                <w:rFonts w:cs="Arial"/>
                <w:highlight w:val="yellow"/>
              </w:rPr>
            </w:pPr>
          </w:p>
        </w:tc>
      </w:tr>
    </w:tbl>
    <w:p w:rsidR="00FE3457" w:rsidRDefault="00FE3457" w14:paraId="68A2E098"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7B4669F9" w14:textId="77777777">
        <w:trPr>
          <w:cantSplit/>
        </w:trPr>
        <w:tc>
          <w:tcPr>
            <w:tcW w:w="4320" w:type="dxa"/>
          </w:tcPr>
          <w:p w:rsidR="00FE3457" w:rsidRDefault="005268B9" w14:paraId="02AFDB51" w14:textId="77777777">
            <w:pPr>
              <w:tabs>
                <w:tab w:val="left" w:pos="2070"/>
              </w:tabs>
              <w:spacing w:after="0" w:line="240" w:lineRule="auto"/>
              <w:ind w:right="162"/>
            </w:pPr>
            <w:r>
              <w:rPr>
                <w:b/>
                <w:bCs/>
              </w:rPr>
              <w:t>State</w:t>
            </w:r>
          </w:p>
        </w:tc>
        <w:tc>
          <w:tcPr>
            <w:tcW w:w="5270" w:type="dxa"/>
          </w:tcPr>
          <w:p w:rsidR="00FE3457" w:rsidRDefault="005268B9" w14:paraId="3840BD58" w14:textId="77777777">
            <w:pPr>
              <w:widowControl w:val="false"/>
              <w:spacing w:after="0" w:line="240" w:lineRule="auto"/>
              <w:rPr>
                <w:rFonts w:cs="Arial"/>
                <w:highlight w:val="yellow"/>
              </w:rPr>
            </w:pPr>
          </w:p>
        </w:tc>
      </w:tr>
    </w:tbl>
    <w:p w:rsidR="00FE3457" w:rsidRDefault="00FE3457" w14:paraId="568BD35C"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5F05C201" w14:textId="77777777">
        <w:trPr>
          <w:cantSplit/>
        </w:trPr>
        <w:tc>
          <w:tcPr>
            <w:tcW w:w="4320" w:type="dxa"/>
          </w:tcPr>
          <w:p w:rsidR="00FE3457" w:rsidRDefault="005268B9" w14:paraId="02505831" w14:textId="77777777">
            <w:pPr>
              <w:tabs>
                <w:tab w:val="left" w:pos="2070"/>
              </w:tabs>
              <w:spacing w:after="0" w:line="240" w:lineRule="auto"/>
              <w:ind w:right="162"/>
            </w:pPr>
            <w:r>
              <w:rPr>
                <w:b/>
                <w:bCs/>
              </w:rPr>
              <w:t>ZIP Code</w:t>
            </w:r>
          </w:p>
        </w:tc>
        <w:tc>
          <w:tcPr>
            <w:tcW w:w="5270" w:type="dxa"/>
          </w:tcPr>
          <w:p w:rsidR="00FE3457" w:rsidRDefault="005268B9" w14:paraId="7B92FA57" w14:textId="77777777">
            <w:pPr>
              <w:widowControl w:val="false"/>
              <w:spacing w:after="0" w:line="240" w:lineRule="auto"/>
              <w:rPr>
                <w:rFonts w:cs="Arial"/>
                <w:highlight w:val="yellow"/>
              </w:rPr>
            </w:pPr>
          </w:p>
        </w:tc>
      </w:tr>
    </w:tbl>
    <w:p w:rsidR="00FE3457" w:rsidRDefault="00FE3457" w14:paraId="3B952D13"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786A6123" w14:textId="77777777">
        <w:trPr>
          <w:cantSplit/>
        </w:trPr>
        <w:tc>
          <w:tcPr>
            <w:tcW w:w="4320" w:type="dxa"/>
          </w:tcPr>
          <w:p w:rsidR="00FE3457" w:rsidRDefault="005268B9" w14:paraId="79AFB717" w14:textId="77777777">
            <w:pPr>
              <w:tabs>
                <w:tab w:val="left" w:pos="2070"/>
              </w:tabs>
              <w:spacing w:after="0" w:line="240" w:lineRule="auto"/>
              <w:ind w:right="162"/>
            </w:pPr>
            <w:r>
              <w:rPr>
                <w:b/>
                <w:bCs/>
              </w:rPr>
              <w:t>Phone Number</w:t>
            </w:r>
          </w:p>
        </w:tc>
        <w:tc>
          <w:tcPr>
            <w:tcW w:w="5270" w:type="dxa"/>
          </w:tcPr>
          <w:p w:rsidR="00FE3457" w:rsidRDefault="005268B9" w14:paraId="2DA4AF02" w14:textId="77777777">
            <w:pPr>
              <w:widowControl w:val="false"/>
              <w:spacing w:after="0" w:line="240" w:lineRule="auto"/>
              <w:rPr>
                <w:rFonts w:cs="Arial"/>
                <w:highlight w:val="yellow"/>
              </w:rPr>
            </w:pPr>
          </w:p>
        </w:tc>
      </w:tr>
    </w:tbl>
    <w:p w:rsidR="00FE3457" w:rsidRDefault="00FE3457" w14:paraId="34E17C33"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2D529CF3" w14:textId="77777777">
        <w:trPr>
          <w:cantSplit/>
        </w:trPr>
        <w:tc>
          <w:tcPr>
            <w:tcW w:w="4320" w:type="dxa"/>
          </w:tcPr>
          <w:p w:rsidR="00FE3457" w:rsidRDefault="005268B9" w14:paraId="5BDA77AB" w14:textId="77777777">
            <w:pPr>
              <w:tabs>
                <w:tab w:val="left" w:pos="2070"/>
              </w:tabs>
              <w:spacing w:after="0" w:line="240" w:lineRule="auto"/>
              <w:ind w:right="162"/>
            </w:pPr>
            <w:r>
              <w:rPr>
                <w:b/>
                <w:bCs/>
              </w:rPr>
              <w:t>Extension</w:t>
            </w:r>
          </w:p>
        </w:tc>
        <w:tc>
          <w:tcPr>
            <w:tcW w:w="5270" w:type="dxa"/>
          </w:tcPr>
          <w:p w:rsidR="00FE3457" w:rsidRDefault="005268B9" w14:paraId="597015FC" w14:textId="77777777">
            <w:pPr>
              <w:widowControl w:val="false"/>
              <w:spacing w:after="0" w:line="240" w:lineRule="auto"/>
              <w:rPr>
                <w:rFonts w:cs="Arial"/>
                <w:highlight w:val="yellow"/>
              </w:rPr>
            </w:pPr>
          </w:p>
        </w:tc>
      </w:tr>
    </w:tbl>
    <w:p w:rsidR="00FE3457" w:rsidRDefault="00FE3457" w14:paraId="30FDBAE7"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495B1160" w14:textId="77777777">
        <w:trPr>
          <w:cantSplit/>
        </w:trPr>
        <w:tc>
          <w:tcPr>
            <w:tcW w:w="4320" w:type="dxa"/>
          </w:tcPr>
          <w:p w:rsidR="00FE3457" w:rsidRDefault="005268B9" w14:paraId="2861F779" w14:textId="77777777">
            <w:pPr>
              <w:tabs>
                <w:tab w:val="left" w:pos="2070"/>
              </w:tabs>
              <w:spacing w:after="0" w:line="240" w:lineRule="auto"/>
              <w:ind w:right="162"/>
            </w:pPr>
            <w:r>
              <w:rPr>
                <w:b/>
                <w:bCs/>
              </w:rPr>
              <w:t>Fax Number</w:t>
            </w:r>
          </w:p>
        </w:tc>
        <w:tc>
          <w:tcPr>
            <w:tcW w:w="5270" w:type="dxa"/>
          </w:tcPr>
          <w:p w:rsidR="00FE3457" w:rsidRDefault="005268B9" w14:paraId="55FB6870" w14:textId="77777777">
            <w:pPr>
              <w:widowControl w:val="false"/>
              <w:spacing w:after="0" w:line="240" w:lineRule="auto"/>
              <w:rPr>
                <w:rFonts w:cs="Arial"/>
                <w:highlight w:val="yellow"/>
              </w:rPr>
            </w:pPr>
          </w:p>
        </w:tc>
      </w:tr>
    </w:tbl>
    <w:p w:rsidR="00FE3457" w:rsidRDefault="00FE3457" w14:paraId="19229553"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4F2BE23F" w14:textId="77777777">
        <w:trPr>
          <w:cantSplit/>
        </w:trPr>
        <w:tc>
          <w:tcPr>
            <w:tcW w:w="4320" w:type="dxa"/>
          </w:tcPr>
          <w:p w:rsidR="00FE3457" w:rsidRDefault="005268B9" w14:paraId="6688DE13" w14:textId="77777777">
            <w:pPr>
              <w:tabs>
                <w:tab w:val="left" w:pos="2070"/>
              </w:tabs>
              <w:spacing w:after="0" w:line="240" w:lineRule="auto"/>
              <w:ind w:right="162"/>
            </w:pPr>
            <w:r>
              <w:rPr>
                <w:b/>
                <w:bCs/>
              </w:rPr>
              <w:t>Email Address</w:t>
            </w:r>
          </w:p>
        </w:tc>
        <w:tc>
          <w:tcPr>
            <w:tcW w:w="5270" w:type="dxa"/>
          </w:tcPr>
          <w:p w:rsidR="00FE3457" w:rsidRDefault="005268B9" w14:paraId="3F0BD81D" w14:textId="77777777">
            <w:pPr>
              <w:widowControl w:val="false"/>
              <w:spacing w:after="0" w:line="240" w:lineRule="auto"/>
              <w:rPr>
                <w:rFonts w:cs="Arial"/>
                <w:highlight w:val="yellow"/>
              </w:rPr>
            </w:pPr>
          </w:p>
        </w:tc>
      </w:tr>
    </w:tbl>
    <w:p w:rsidR="00FE3457" w:rsidRDefault="00FE3457" w14:paraId="6C4B5D58" w14:textId="77777777">
      <w:pPr>
        <w:widowControl w:val="false"/>
        <w:spacing w:after="0" w:line="240" w:lineRule="auto"/>
        <w:rPr>
          <w:b/>
          <w:sz w:val="24"/>
          <w:szCs w:val="24"/>
        </w:rPr>
      </w:pPr>
    </w:p>
    <w:p w:rsidR="00FE3457" w:rsidRDefault="005268B9" w14:paraId="39F75E23" w14:textId="77777777">
      <w:pPr>
        <w:widowControl w:val="false"/>
        <w:spacing w:after="0" w:line="240" w:lineRule="auto"/>
        <w:rPr>
          <w:b/>
          <w:sz w:val="24"/>
          <w:szCs w:val="24"/>
        </w:rPr>
      </w:pPr>
      <w:r>
        <w:rPr>
          <w:b/>
          <w:u w:val="single"/>
        </w:rPr>
        <w:t>ESG Secondary Contact</w:t>
      </w: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1235ECFB" w14:textId="77777777">
        <w:trPr>
          <w:cantSplit/>
        </w:trPr>
        <w:tc>
          <w:tcPr>
            <w:tcW w:w="4320" w:type="dxa"/>
          </w:tcPr>
          <w:p w:rsidR="00FE3457" w:rsidRDefault="005268B9" w14:paraId="7B4DA107" w14:textId="77777777">
            <w:pPr>
              <w:keepNext/>
              <w:tabs>
                <w:tab w:val="left" w:pos="2070"/>
              </w:tabs>
              <w:spacing w:after="0" w:line="240" w:lineRule="auto"/>
              <w:ind w:right="162"/>
            </w:pPr>
            <w:r>
              <w:rPr>
                <w:b/>
                <w:bCs/>
              </w:rPr>
              <w:t>Prefix</w:t>
            </w:r>
          </w:p>
        </w:tc>
        <w:tc>
          <w:tcPr>
            <w:tcW w:w="5270" w:type="dxa"/>
          </w:tcPr>
          <w:p w:rsidR="00FE3457" w:rsidRDefault="005268B9" w14:paraId="1B8170A5" w14:textId="77777777">
            <w:pPr>
              <w:keepNext/>
              <w:widowControl w:val="false"/>
              <w:spacing w:after="0" w:line="240" w:lineRule="auto"/>
              <w:rPr>
                <w:rFonts w:cs="Arial"/>
              </w:rPr>
            </w:pPr>
          </w:p>
        </w:tc>
      </w:tr>
    </w:tbl>
    <w:p w:rsidR="00FE3457" w:rsidRDefault="00FE3457" w14:paraId="4EB47F20"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2D6129A7" w14:textId="77777777">
        <w:trPr>
          <w:cantSplit/>
        </w:trPr>
        <w:tc>
          <w:tcPr>
            <w:tcW w:w="4320" w:type="dxa"/>
          </w:tcPr>
          <w:p w:rsidR="00FE3457" w:rsidRDefault="005268B9" w14:paraId="5AC66C5F" w14:textId="77777777">
            <w:pPr>
              <w:tabs>
                <w:tab w:val="left" w:pos="2070"/>
              </w:tabs>
              <w:spacing w:after="0" w:line="240" w:lineRule="auto"/>
              <w:ind w:right="162"/>
            </w:pPr>
            <w:r>
              <w:rPr>
                <w:b/>
                <w:bCs/>
              </w:rPr>
              <w:t>First Name</w:t>
            </w:r>
          </w:p>
        </w:tc>
        <w:tc>
          <w:tcPr>
            <w:tcW w:w="5270" w:type="dxa"/>
          </w:tcPr>
          <w:p w:rsidR="00FE3457" w:rsidRDefault="005268B9" w14:paraId="1F8CB043" w14:textId="77777777">
            <w:pPr>
              <w:widowControl w:val="false"/>
              <w:spacing w:after="0" w:line="240" w:lineRule="auto"/>
              <w:rPr>
                <w:rFonts w:cs="Arial"/>
                <w:highlight w:val="yellow"/>
              </w:rPr>
            </w:pPr>
          </w:p>
        </w:tc>
      </w:tr>
    </w:tbl>
    <w:p w:rsidR="00FE3457" w:rsidRDefault="00FE3457" w14:paraId="62C602B9"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5ACDD84C" w14:textId="77777777">
        <w:trPr>
          <w:cantSplit/>
        </w:trPr>
        <w:tc>
          <w:tcPr>
            <w:tcW w:w="4320" w:type="dxa"/>
          </w:tcPr>
          <w:p w:rsidR="00FE3457" w:rsidRDefault="005268B9" w14:paraId="5E78EA90" w14:textId="77777777">
            <w:pPr>
              <w:tabs>
                <w:tab w:val="left" w:pos="2070"/>
              </w:tabs>
              <w:spacing w:after="0" w:line="240" w:lineRule="auto"/>
              <w:ind w:right="162"/>
            </w:pPr>
            <w:r>
              <w:rPr>
                <w:b/>
                <w:bCs/>
              </w:rPr>
              <w:t>Last Name</w:t>
            </w:r>
          </w:p>
        </w:tc>
        <w:tc>
          <w:tcPr>
            <w:tcW w:w="5270" w:type="dxa"/>
          </w:tcPr>
          <w:p w:rsidR="00FE3457" w:rsidRDefault="005268B9" w14:paraId="35368C43" w14:textId="77777777">
            <w:pPr>
              <w:widowControl w:val="false"/>
              <w:spacing w:after="0" w:line="240" w:lineRule="auto"/>
              <w:rPr>
                <w:rFonts w:cs="Arial"/>
                <w:highlight w:val="yellow"/>
              </w:rPr>
            </w:pPr>
          </w:p>
        </w:tc>
      </w:tr>
    </w:tbl>
    <w:p w:rsidR="00FE3457" w:rsidRDefault="00FE3457" w14:paraId="6B8E78C4"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1464CC14" w14:textId="77777777">
        <w:trPr>
          <w:cantSplit/>
        </w:trPr>
        <w:tc>
          <w:tcPr>
            <w:tcW w:w="4320" w:type="dxa"/>
          </w:tcPr>
          <w:p w:rsidR="00FE3457" w:rsidRDefault="005268B9" w14:paraId="04EFCBC5" w14:textId="77777777">
            <w:pPr>
              <w:tabs>
                <w:tab w:val="left" w:pos="2070"/>
              </w:tabs>
              <w:spacing w:after="0" w:line="240" w:lineRule="auto"/>
              <w:ind w:right="162"/>
            </w:pPr>
            <w:r>
              <w:rPr>
                <w:b/>
                <w:bCs/>
              </w:rPr>
              <w:t>Suffix</w:t>
            </w:r>
          </w:p>
        </w:tc>
        <w:tc>
          <w:tcPr>
            <w:tcW w:w="5270" w:type="dxa"/>
          </w:tcPr>
          <w:p w:rsidR="00FE3457" w:rsidRDefault="005268B9" w14:paraId="061937A1" w14:textId="77777777">
            <w:pPr>
              <w:widowControl w:val="false"/>
              <w:spacing w:after="0" w:line="240" w:lineRule="auto"/>
              <w:rPr>
                <w:rFonts w:cs="Arial"/>
                <w:highlight w:val="yellow"/>
              </w:rPr>
            </w:pPr>
          </w:p>
        </w:tc>
      </w:tr>
    </w:tbl>
    <w:p w:rsidR="00FE3457" w:rsidRDefault="00FE3457" w14:paraId="7536E722"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65DC876A" w14:textId="77777777">
        <w:trPr>
          <w:cantSplit/>
        </w:trPr>
        <w:tc>
          <w:tcPr>
            <w:tcW w:w="4320" w:type="dxa"/>
          </w:tcPr>
          <w:p w:rsidR="00FE3457" w:rsidRDefault="005268B9" w14:paraId="3B6F3ACC" w14:textId="77777777">
            <w:pPr>
              <w:tabs>
                <w:tab w:val="left" w:pos="2070"/>
              </w:tabs>
              <w:spacing w:after="0" w:line="240" w:lineRule="auto"/>
              <w:ind w:right="162"/>
            </w:pPr>
            <w:r>
              <w:rPr>
                <w:b/>
                <w:bCs/>
              </w:rPr>
              <w:t>Title</w:t>
            </w:r>
          </w:p>
        </w:tc>
        <w:tc>
          <w:tcPr>
            <w:tcW w:w="5270" w:type="dxa"/>
          </w:tcPr>
          <w:p w:rsidR="00FE3457" w:rsidRDefault="005268B9" w14:paraId="3760D6A0" w14:textId="77777777">
            <w:pPr>
              <w:widowControl w:val="false"/>
              <w:spacing w:after="0" w:line="240" w:lineRule="auto"/>
              <w:rPr>
                <w:rFonts w:cs="Arial"/>
                <w:highlight w:val="yellow"/>
              </w:rPr>
            </w:pPr>
          </w:p>
        </w:tc>
      </w:tr>
    </w:tbl>
    <w:p w:rsidR="00FE3457" w:rsidRDefault="00FE3457" w14:paraId="70DB45E9"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06F67E0D" w14:textId="77777777">
        <w:trPr>
          <w:cantSplit/>
        </w:trPr>
        <w:tc>
          <w:tcPr>
            <w:tcW w:w="4320" w:type="dxa"/>
          </w:tcPr>
          <w:p w:rsidR="00FE3457" w:rsidRDefault="005268B9" w14:paraId="666378F9" w14:textId="77777777">
            <w:pPr>
              <w:tabs>
                <w:tab w:val="left" w:pos="2070"/>
              </w:tabs>
              <w:spacing w:after="0" w:line="240" w:lineRule="auto"/>
              <w:ind w:right="162"/>
            </w:pPr>
            <w:r>
              <w:rPr>
                <w:b/>
                <w:bCs/>
              </w:rPr>
              <w:t>Phone Number</w:t>
            </w:r>
          </w:p>
        </w:tc>
        <w:tc>
          <w:tcPr>
            <w:tcW w:w="5270" w:type="dxa"/>
          </w:tcPr>
          <w:p w:rsidR="00FE3457" w:rsidRDefault="005268B9" w14:paraId="3B0D6BDF" w14:textId="77777777">
            <w:pPr>
              <w:widowControl w:val="false"/>
              <w:spacing w:after="0" w:line="240" w:lineRule="auto"/>
              <w:rPr>
                <w:rFonts w:cs="Arial"/>
                <w:highlight w:val="yellow"/>
              </w:rPr>
            </w:pPr>
          </w:p>
        </w:tc>
      </w:tr>
    </w:tbl>
    <w:p w:rsidR="00FE3457" w:rsidRDefault="00FE3457" w14:paraId="23CFDA3F"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7CF4049A" w14:textId="77777777">
        <w:trPr>
          <w:cantSplit/>
        </w:trPr>
        <w:tc>
          <w:tcPr>
            <w:tcW w:w="4320" w:type="dxa"/>
          </w:tcPr>
          <w:p w:rsidR="00FE3457" w:rsidRDefault="005268B9" w14:paraId="5B6CFC7B" w14:textId="77777777">
            <w:pPr>
              <w:tabs>
                <w:tab w:val="left" w:pos="2070"/>
              </w:tabs>
              <w:spacing w:after="0" w:line="240" w:lineRule="auto"/>
              <w:ind w:right="162"/>
            </w:pPr>
            <w:r>
              <w:rPr>
                <w:b/>
                <w:bCs/>
              </w:rPr>
              <w:t>Extension</w:t>
            </w:r>
          </w:p>
        </w:tc>
        <w:tc>
          <w:tcPr>
            <w:tcW w:w="5270" w:type="dxa"/>
          </w:tcPr>
          <w:p w:rsidR="00FE3457" w:rsidRDefault="005268B9" w14:paraId="230EB5B8" w14:textId="77777777">
            <w:pPr>
              <w:widowControl w:val="false"/>
              <w:spacing w:after="0" w:line="240" w:lineRule="auto"/>
              <w:rPr>
                <w:rFonts w:cs="Arial"/>
                <w:highlight w:val="yellow"/>
              </w:rPr>
            </w:pPr>
          </w:p>
        </w:tc>
      </w:tr>
    </w:tbl>
    <w:p w:rsidR="00FE3457" w:rsidRDefault="00FE3457" w14:paraId="731DE341"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120FFDCE" w14:textId="77777777">
        <w:trPr>
          <w:cantSplit/>
        </w:trPr>
        <w:tc>
          <w:tcPr>
            <w:tcW w:w="4320" w:type="dxa"/>
          </w:tcPr>
          <w:p w:rsidR="00FE3457" w:rsidRDefault="005268B9" w14:paraId="30B5F458" w14:textId="77777777">
            <w:pPr>
              <w:tabs>
                <w:tab w:val="left" w:pos="2070"/>
              </w:tabs>
              <w:spacing w:after="0" w:line="240" w:lineRule="auto"/>
              <w:ind w:right="162"/>
            </w:pPr>
            <w:r>
              <w:rPr>
                <w:b/>
                <w:bCs/>
              </w:rPr>
              <w:t>Email Address</w:t>
            </w:r>
          </w:p>
        </w:tc>
        <w:tc>
          <w:tcPr>
            <w:tcW w:w="5270" w:type="dxa"/>
          </w:tcPr>
          <w:p w:rsidR="00FE3457" w:rsidRDefault="005268B9" w14:paraId="30211A0A" w14:textId="77777777">
            <w:pPr>
              <w:widowControl w:val="false"/>
              <w:spacing w:after="0" w:line="240" w:lineRule="auto"/>
              <w:rPr>
                <w:rFonts w:cs="Arial"/>
                <w:highlight w:val="yellow"/>
              </w:rPr>
            </w:pPr>
          </w:p>
        </w:tc>
      </w:tr>
    </w:tbl>
    <w:p w:rsidR="00FE3457" w:rsidRDefault="00FE3457" w14:paraId="442AB339" w14:textId="77777777">
      <w:pPr>
        <w:widowControl w:val="false"/>
        <w:spacing w:after="0" w:line="240" w:lineRule="auto"/>
        <w:rPr>
          <w:b/>
          <w:sz w:val="24"/>
          <w:szCs w:val="24"/>
        </w:rPr>
      </w:pPr>
    </w:p>
    <w:p w:rsidR="00FE3457" w:rsidRDefault="005268B9" w14:paraId="37B2335A" w14:textId="77777777">
      <w:pPr>
        <w:widowControl w:val="false"/>
        <w:rPr>
          <w:b/>
          <w:sz w:val="24"/>
          <w:szCs w:val="24"/>
        </w:rPr>
      </w:pPr>
      <w:r>
        <w:rPr>
          <w:b/>
          <w:sz w:val="24"/>
          <w:szCs w:val="24"/>
        </w:rPr>
        <w:t xml:space="preserve">2. Reporting Period—All Recipients Complete </w:t>
      </w: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35DEB14A" w14:textId="77777777">
        <w:trPr>
          <w:cantSplit/>
        </w:trPr>
        <w:tc>
          <w:tcPr>
            <w:tcW w:w="4320" w:type="dxa"/>
          </w:tcPr>
          <w:p w:rsidR="00FE3457" w:rsidRDefault="005268B9" w14:paraId="449D2326" w14:textId="77777777">
            <w:pPr>
              <w:keepNext/>
              <w:tabs>
                <w:tab w:val="left" w:pos="2070"/>
              </w:tabs>
              <w:spacing w:after="0" w:line="240" w:lineRule="auto"/>
              <w:ind w:right="162"/>
            </w:pPr>
            <w:r>
              <w:rPr>
                <w:b/>
                <w:bCs/>
              </w:rPr>
              <w:t>Program Year Start Date</w:t>
            </w:r>
          </w:p>
        </w:tc>
        <w:tc>
          <w:tcPr>
            <w:tcW w:w="5270" w:type="dxa"/>
          </w:tcPr>
          <w:p>
            <w:pPr>
              <w:keepNext/>
              <w:widowControl w:val="false"/>
              <w:spacing w:beforeAutospacing="true" w:afterAutospacing="true"/>
              <w:rPr>
                <w:rFonts w:cs="Arial"/>
              </w:rPr>
            </w:pPr>
            <w:r>
              <w:rPr>
                <w:rFonts w:cs="Arial"/>
              </w:rPr>
              <w:t xml:space="preserve">07/01/2025</w:t>
            </w:r>
          </w:p>
        </w:tc>
      </w:tr>
    </w:tbl>
    <w:p w:rsidR="00FE3457" w:rsidRDefault="00FE3457" w14:paraId="368F1CCA" w14:textId="77777777">
      <w:pPr>
        <w:widowControl w:val="false"/>
        <w:spacing w:after="0" w:line="240" w:lineRule="auto"/>
        <w:rPr>
          <w:b/>
          <w:vanish/>
          <w:sz w:val="24"/>
          <w:szCs w:val="24"/>
        </w:rPr>
      </w:pPr>
    </w:p>
    <w:tbl>
      <w:tblPr>
        <w:tblW w:w="5000" w:type="pct"/>
        <w:tblInd w:w="115" w:type="dxa"/>
        <w:tblLayout w:type="fixed"/>
        <w:tblCellMar>
          <w:left w:w="115" w:type="dxa"/>
          <w:right w:w="115" w:type="dxa"/>
        </w:tblCellMar>
        <w:tblLook w:firstRow="1" w:lastRow="1" w:firstColumn="1" w:lastColumn="1" w:noHBand="0" w:noVBand="0" w:val="01E0"/>
      </w:tblPr>
      <w:tblGrid>
        <w:gridCol w:w="4217"/>
        <w:gridCol w:w="5143"/>
      </w:tblGrid>
      <w:tr w:rsidR="00FE3457" w14:paraId="4BFF69C9" w14:textId="77777777">
        <w:trPr>
          <w:cantSplit/>
        </w:trPr>
        <w:tc>
          <w:tcPr>
            <w:tcW w:w="4320" w:type="dxa"/>
          </w:tcPr>
          <w:p w:rsidR="00FE3457" w:rsidRDefault="005268B9" w14:paraId="7FDEEF5A" w14:textId="77777777">
            <w:pPr>
              <w:tabs>
                <w:tab w:val="left" w:pos="2070"/>
              </w:tabs>
              <w:spacing w:after="0" w:line="240" w:lineRule="auto"/>
              <w:ind w:right="162"/>
            </w:pPr>
            <w:r>
              <w:rPr>
                <w:b/>
                <w:bCs/>
              </w:rPr>
              <w:t>Program Year End Date</w:t>
            </w:r>
          </w:p>
        </w:tc>
        <w:tc>
          <w:tcPr>
            <w:tcW w:w="5270" w:type="dxa"/>
          </w:tcPr>
          <w:p>
            <w:pPr>
              <w:widowControl w:val="false"/>
              <w:spacing w:beforeAutospacing="true" w:afterAutospacing="true"/>
              <w:rPr>
                <w:rFonts w:cs="Arial"/>
                <w:highlight w:val="yellow"/>
              </w:rPr>
            </w:pPr>
            <w:r>
              <w:rPr>
                <w:rFonts w:cs="Arial"/>
              </w:rPr>
              <w:t xml:space="preserve">06/30/2026</w:t>
            </w:r>
          </w:p>
        </w:tc>
      </w:tr>
    </w:tbl>
    <w:p w:rsidR="00FE3457" w:rsidRDefault="00FE3457" w14:paraId="20E7E792" w14:textId="77777777">
      <w:pPr>
        <w:widowControl w:val="false"/>
        <w:rPr>
          <w:b/>
          <w:sz w:val="24"/>
          <w:szCs w:val="24"/>
        </w:rPr>
      </w:pPr>
    </w:p>
    <w:p w:rsidR="00FE3457" w:rsidRDefault="005268B9" w14:paraId="218A04C2" w14:textId="77777777">
      <w:pPr>
        <w:keepNext/>
        <w:widowControl w:val="false"/>
        <w:rPr>
          <w:b/>
          <w:sz w:val="24"/>
          <w:szCs w:val="24"/>
        </w:rPr>
      </w:pPr>
      <w:r>
        <w:rPr>
          <w:b/>
          <w:sz w:val="24"/>
          <w:szCs w:val="24"/>
        </w:rPr>
        <w:t>3a. Subrecipient Form – Complete one form for each subrecipient</w:t>
      </w:r>
    </w:p>
    <w:tbl>
      <w:tblPr>
        <w:tblW w:w="5000" w:type="pct"/>
        <w:tblInd w:w="115" w:type="dxa"/>
        <w:tblLayout w:type="fixed"/>
        <w:tblCellMar>
          <w:left w:w="115" w:type="dxa"/>
          <w:right w:w="115" w:type="dxa"/>
        </w:tblCellMar>
        <w:tblLook w:firstRow="1" w:lastRow="1" w:firstColumn="1" w:lastColumn="1" w:noHBand="0" w:noVBand="0" w:val="01E0"/>
      </w:tblPr>
      <w:tblGrid>
        <w:gridCol w:w="9360"/>
      </w:tblGrid>
      <w:tr w:rsidR="00FE3457" w14:paraId="6DB80D97" w14:textId="77777777">
        <w:trPr>
          <w:cantSplit/>
        </w:trPr>
        <w:tc>
          <w:tcPr>
            <w:tcW w:w="9590" w:type="dxa"/>
          </w:tcPr>
          <w:p w:rsidR="00FE3457" w:rsidRDefault="005268B9" w14:paraId="7B762B0E" w14:textId="77777777">
            <w:pPr>
              <w:keepNext/>
              <w:widowControl w:val="false"/>
              <w:spacing w:after="0" w:line="240" w:lineRule="auto"/>
              <w:rPr>
                <w:rFonts w:cs="Arial"/>
                <w:highlight w:val="yellow"/>
              </w:rPr>
            </w:pPr>
            <w:r>
              <w:rPr>
                <w:b/>
                <w:bCs/>
              </w:rPr>
              <w:t>Subrecipient or Contractor Name</w:t>
            </w:r>
          </w:p>
        </w:tc>
      </w:tr>
      <w:tr w:rsidR="00FE3457" w14:paraId="4EEA2E56" w14:textId="77777777">
        <w:trPr>
          <w:cantSplit/>
        </w:trPr>
        <w:tc>
          <w:tcPr>
            <w:tcW w:w="9590" w:type="dxa"/>
          </w:tcPr>
          <w:p w:rsidR="00FE3457" w:rsidRDefault="005268B9" w14:paraId="308742D1" w14:textId="77777777">
            <w:pPr>
              <w:keepNext/>
              <w:widowControl w:val="false"/>
              <w:spacing w:after="0" w:line="240" w:lineRule="auto"/>
              <w:rPr>
                <w:rFonts w:cs="Arial"/>
                <w:highlight w:val="yellow"/>
              </w:rPr>
            </w:pPr>
            <w:r>
              <w:rPr>
                <w:b/>
                <w:bCs/>
              </w:rPr>
              <w:t>City</w:t>
            </w:r>
          </w:p>
        </w:tc>
      </w:tr>
      <w:tr w:rsidR="00FE3457" w14:paraId="27D7C93B" w14:textId="77777777">
        <w:trPr>
          <w:cantSplit/>
        </w:trPr>
        <w:tc>
          <w:tcPr>
            <w:tcW w:w="9590" w:type="dxa"/>
          </w:tcPr>
          <w:p w:rsidR="00FE3457" w:rsidRDefault="005268B9" w14:paraId="2C33B25B" w14:textId="77777777">
            <w:pPr>
              <w:keepNext/>
              <w:widowControl w:val="false"/>
              <w:spacing w:after="0" w:line="240" w:lineRule="auto"/>
              <w:rPr>
                <w:rFonts w:cs="Arial"/>
                <w:highlight w:val="yellow"/>
              </w:rPr>
            </w:pPr>
            <w:r>
              <w:rPr>
                <w:b/>
                <w:bCs/>
              </w:rPr>
              <w:t>State</w:t>
            </w:r>
          </w:p>
        </w:tc>
      </w:tr>
      <w:tr w:rsidR="00FE3457" w14:paraId="0522AE60" w14:textId="77777777">
        <w:trPr>
          <w:cantSplit/>
        </w:trPr>
        <w:tc>
          <w:tcPr>
            <w:tcW w:w="9590" w:type="dxa"/>
          </w:tcPr>
          <w:p w:rsidR="00FE3457" w:rsidRDefault="005268B9" w14:paraId="496B556F" w14:textId="77777777">
            <w:pPr>
              <w:keepNext/>
              <w:widowControl w:val="false"/>
              <w:spacing w:after="0" w:line="240" w:lineRule="auto"/>
              <w:rPr>
                <w:rFonts w:cs="Arial"/>
                <w:highlight w:val="yellow"/>
              </w:rPr>
            </w:pPr>
            <w:r>
              <w:rPr>
                <w:b/>
                <w:bCs/>
              </w:rPr>
              <w:t>Zip Code</w:t>
            </w:r>
          </w:p>
        </w:tc>
      </w:tr>
      <w:tr w:rsidR="00FE3457" w14:paraId="2ADC9A7D" w14:textId="77777777">
        <w:trPr>
          <w:cantSplit/>
        </w:trPr>
        <w:tc>
          <w:tcPr>
            <w:tcW w:w="9590" w:type="dxa"/>
          </w:tcPr>
          <w:p w:rsidR="00FE3457" w:rsidRDefault="005268B9" w14:paraId="66144C1E" w14:textId="77777777">
            <w:pPr>
              <w:keepNext/>
              <w:widowControl w:val="false"/>
              <w:spacing w:after="0" w:line="240" w:lineRule="auto"/>
              <w:rPr>
                <w:rFonts w:cs="Arial"/>
                <w:highlight w:val="yellow"/>
              </w:rPr>
            </w:pPr>
            <w:r>
              <w:rPr>
                <w:b/>
                <w:bCs/>
              </w:rPr>
              <w:t>DUNS Number</w:t>
            </w:r>
          </w:p>
        </w:tc>
      </w:tr>
      <w:tr w:rsidR="00FE3457" w14:paraId="50091504" w14:textId="77777777">
        <w:trPr>
          <w:cantSplit/>
        </w:trPr>
        <w:tc>
          <w:tcPr>
            <w:tcW w:w="9590" w:type="dxa"/>
          </w:tcPr>
          <w:p w:rsidR="00FE3457" w:rsidRDefault="005268B9" w14:paraId="4A94AFB8" w14:textId="77777777">
            <w:pPr>
              <w:keepNext/>
              <w:widowControl w:val="false"/>
              <w:spacing w:after="0" w:line="240" w:lineRule="auto"/>
              <w:rPr>
                <w:b/>
                <w:bCs/>
              </w:rPr>
            </w:pPr>
            <w:r>
              <w:rPr>
                <w:b/>
                <w:bCs/>
              </w:rPr>
              <w:t>UEI</w:t>
            </w:r>
          </w:p>
        </w:tc>
      </w:tr>
      <w:tr w:rsidR="00FE3457" w14:paraId="69304B1B" w14:textId="77777777">
        <w:trPr>
          <w:cantSplit/>
        </w:trPr>
        <w:tc>
          <w:tcPr>
            <w:tcW w:w="9590" w:type="dxa"/>
          </w:tcPr>
          <w:p w:rsidR="00FE3457" w:rsidRDefault="005268B9" w14:paraId="70F4BC03" w14:textId="77777777">
            <w:pPr>
              <w:keepNext/>
              <w:widowControl w:val="false"/>
              <w:spacing w:after="0" w:line="240" w:lineRule="auto"/>
              <w:rPr>
                <w:rFonts w:cs="Arial"/>
                <w:highlight w:val="yellow"/>
              </w:rPr>
            </w:pPr>
            <w:r>
              <w:rPr>
                <w:b/>
                <w:bCs/>
              </w:rPr>
              <w:t>Is subrecipient a vistim services provider</w:t>
            </w:r>
          </w:p>
        </w:tc>
      </w:tr>
      <w:tr w:rsidR="00FE3457" w14:paraId="77AA2C23" w14:textId="77777777">
        <w:trPr>
          <w:cantSplit/>
        </w:trPr>
        <w:tc>
          <w:tcPr>
            <w:tcW w:w="9590" w:type="dxa"/>
          </w:tcPr>
          <w:p w:rsidR="00FE3457" w:rsidRDefault="005268B9" w14:paraId="00509E3D" w14:textId="77777777">
            <w:pPr>
              <w:keepNext/>
              <w:widowControl w:val="false"/>
              <w:spacing w:after="0" w:line="240" w:lineRule="auto"/>
              <w:rPr>
                <w:rFonts w:cs="Arial"/>
                <w:highlight w:val="yellow"/>
              </w:rPr>
            </w:pPr>
            <w:r>
              <w:rPr>
                <w:b/>
                <w:bCs/>
              </w:rPr>
              <w:t>Subrecipient Organization Type</w:t>
            </w:r>
          </w:p>
        </w:tc>
      </w:tr>
      <w:tr w:rsidR="00FE3457" w14:paraId="741B5BEA" w14:textId="77777777">
        <w:trPr>
          <w:cantSplit/>
        </w:trPr>
        <w:tc>
          <w:tcPr>
            <w:tcW w:w="9590" w:type="dxa"/>
          </w:tcPr>
          <w:p w:rsidR="00FE3457" w:rsidRDefault="005268B9" w14:paraId="520DEC0C" w14:textId="77777777">
            <w:pPr>
              <w:keepNext/>
              <w:widowControl w:val="false"/>
              <w:spacing w:after="0" w:line="240" w:lineRule="auto"/>
              <w:rPr>
                <w:rFonts w:cs="Arial"/>
                <w:highlight w:val="yellow"/>
              </w:rPr>
            </w:pPr>
            <w:r>
              <w:rPr>
                <w:b/>
                <w:bCs/>
              </w:rPr>
              <w:t>ESG Subgrant or Contract Award Amount</w:t>
            </w:r>
          </w:p>
        </w:tc>
      </w:tr>
    </w:tbl>
    <w:p w:rsidR="00FE3457" w:rsidRDefault="00FE3457" w14:paraId="28B8B4A9" w14:textId="77777777">
      <w:pPr>
        <w:widowControl w:val="false"/>
        <w:rPr>
          <w:b/>
          <w:sz w:val="24"/>
          <w:szCs w:val="24"/>
        </w:rPr>
      </w:pPr>
    </w:p>
    <w:p w:rsidR="00FE3457" w:rsidRDefault="00FE3457" w14:paraId="575E8942" w14:textId="77777777"/>
    <w:sectPr w:rsidR="00FE3457">
      <w:pgSz w:w="12240" w:h="15840" w:orient="portrait" w:code="1"/>
      <w:pgMar w:top="1440" w:right="1440" w:bottom="1440" w:left="1440" w:header="720" w:footer="720" w:gutter="0"/>
      <w:cols w:space="720"/>
      <w:docGrid w:linePitch="360"/>
    </w:sectPr>
  </w:body>
</w:document>
</file>

<file path=word/endnotes.xml><?xml version="1.0" encoding="utf-8"?>
<w:endnot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endnote w:type="separator" w:id="-1">
    <w:p w:rsidR="00FE3457" w:rsidRDefault="005268B9" w14:paraId="0169A01B" w14:textId="77777777">
      <w:r>
        <w:separator/>
      </w:r>
    </w:p>
  </w:endnote>
  <w:endnote w:type="continuationSeparator" w:id="0">
    <w:p w:rsidR="00FE3457" w:rsidRDefault="005268B9" w14:paraId="112B632A" w14:textId="77777777">
      <w:r>
        <w:continuationSeparator/>
      </w:r>
    </w:p>
  </w:endnote>
</w:endnotes>
</file>

<file path=word/fontTable.xml><?xml version="1.0" encoding="utf-8"?>
<w:font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tbl>
    <w:tblPr>
      <w:tblW w:w="0" w:type="auto"/>
      <w:jc w:val="center"/>
      <w:tblLayout w:type="fixed"/>
      <w:tblLook w:firstRow="1" w:lastRow="1" w:firstColumn="1" w:lastColumn="1" w:noHBand="0" w:noVBand="0" w:val="01E0"/>
    </w:tblPr>
    <w:tblGrid>
      <w:gridCol w:w="828"/>
      <w:gridCol w:w="7976"/>
      <w:gridCol w:w="772"/>
    </w:tblGrid>
    <w:tr w:rsidR="00FE3457" w14:paraId="714EF55F" w14:textId="77777777">
      <w:trPr>
        <w:jc w:val="center"/>
      </w:trPr>
      <w:tc>
        <w:tcPr>
          <w:tcW w:w="828" w:type="dxa"/>
        </w:tcPr>
        <w:p w:rsidR="00FE3457" w:rsidRDefault="00FE3457" w14:paraId="5CEEFB32" w14:textId="77777777">
          <w:pPr>
            <w:pStyle w:val="Footer"/>
            <w:spacing w:after="0" w:line="240" w:lineRule="auto"/>
            <w:jc w:val="center"/>
          </w:pPr>
        </w:p>
      </w:tc>
      <w:tc>
        <w:tcPr>
          <w:tcW w:w="7976" w:type="dxa"/>
        </w:tcPr>
        <w:p w:rsidR="00FE3457" w:rsidRDefault="005268B9" w14:paraId="281325BA" w14:textId="77777777">
          <w:pPr>
            <w:pStyle w:val="Footer"/>
            <w:spacing w:after="0" w:line="240" w:lineRule="auto"/>
            <w:jc w:val="center"/>
          </w:pPr>
          <w:r>
            <w:t>CAPER</w:t>
          </w:r>
        </w:p>
      </w:tc>
      <w:tc>
        <w:tcPr>
          <w:tcW w:w="772" w:type="dxa"/>
        </w:tcPr>
        <w:p w:rsidR="00FE3457" w:rsidRDefault="005268B9" w14:paraId="3EC0C872" w14:textId="77777777">
          <w:pPr>
            <w:pStyle w:val="Footer"/>
            <w:spacing w:after="0" w:line="240" w:lineRule="auto"/>
            <w:jc w:val="right"/>
          </w:pPr>
          <w:r>
            <w:fldChar w:fldCharType="begin"/>
          </w:r>
          <w:r>
            <w:instrText>page</w:instrText>
          </w:r>
          <w:r>
            <w:fldChar w:fldCharType="separate"/>
          </w:r>
          <w:r>
            <w:t>1</w:t>
          </w:r>
          <w:r>
            <w:fldChar w:fldCharType="end"/>
          </w:r>
        </w:p>
      </w:tc>
    </w:tr>
  </w:tbl>
  <w:p w:rsidR="00FE3457" w:rsidRDefault="005268B9" w14:paraId="40689EDF" w14:textId="77777777">
    <w:pPr>
      <w:pStyle w:val="Footer"/>
      <w:spacing w:before="120" w:after="0"/>
      <w:rPr>
        <w:rFonts w:asciiTheme="minorHAnsi" w:hAnsiTheme="minorHAnsi"/>
        <w:b/>
        <w:i/>
        <w:sz w:val="16"/>
      </w:rPr>
    </w:pPr>
    <w:r>
      <w:rPr>
        <w:rFonts w:cs="Arial" w:asciiTheme="minorHAnsi" w:hAnsiTheme="minorHAnsi"/>
        <w:color w:val="000000"/>
        <w:sz w:val="16"/>
      </w:rPr>
      <w:t>OMB Control No: 2506-0117 (exp. 09/30/2021)</w:t>
    </w:r>
  </w:p>
</w:ftr>
</file>

<file path=word/footnotes.xml><?xml version="1.0" encoding="utf-8"?>
<w:footnot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otnote w:type="separator" w:id="-1">
    <w:p w:rsidR="00FE3457" w:rsidRDefault="005268B9" w14:paraId="375474F1" w14:textId="77777777">
      <w:r>
        <w:separator/>
      </w:r>
    </w:p>
  </w:footnote>
  <w:footnote w:type="continuationSeparator" w:id="0">
    <w:p w:rsidR="00FE3457" w:rsidRDefault="005268B9" w14:paraId="22D84D5D" w14:textId="77777777">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A8B8103C"/>
    <w:lvl w:ilvl="0">
      <w:start w:val="1"/>
      <w:numFmt w:val="bullet"/>
      <w:lvlText w:val=""/>
      <w:lvlJc w:val="left"/>
      <w:pPr>
        <w:tabs>
          <w:tab w:val="num" w:pos="1800"/>
        </w:tabs>
        <w:ind w:left="1800" w:hanging="360"/>
      </w:pPr>
      <w:rPr>
        <w:rFonts w:hint="default" w:ascii="Symbol" w:hAnsi="Symbol"/>
      </w:rPr>
    </w:lvl>
  </w:abstractNum>
  <w:abstractNum w:abstractNumId="5">
    <w:nsid w:val="FFFFFF81"/>
    <w:multiLevelType w:val="singleLevel"/>
    <w:tmpl w:val="3FECD4C4"/>
    <w:lvl w:ilvl="0">
      <w:start w:val="1"/>
      <w:numFmt w:val="bullet"/>
      <w:lvlText w:val=""/>
      <w:lvlJc w:val="left"/>
      <w:pPr>
        <w:tabs>
          <w:tab w:val="num" w:pos="1440"/>
        </w:tabs>
        <w:ind w:left="1440" w:hanging="360"/>
      </w:pPr>
      <w:rPr>
        <w:rFonts w:hint="default" w:ascii="Symbol" w:hAnsi="Symbol"/>
      </w:rPr>
    </w:lvl>
  </w:abstractNum>
  <w:abstractNum w:abstractNumId="6">
    <w:nsid w:val="FFFFFF82"/>
    <w:multiLevelType w:val="singleLevel"/>
    <w:tmpl w:val="106E986A"/>
    <w:lvl w:ilvl="0">
      <w:start w:val="1"/>
      <w:numFmt w:val="bullet"/>
      <w:lvlText w:val=""/>
      <w:lvlJc w:val="left"/>
      <w:pPr>
        <w:tabs>
          <w:tab w:val="num" w:pos="1080"/>
        </w:tabs>
        <w:ind w:left="1080" w:hanging="360"/>
      </w:pPr>
      <w:rPr>
        <w:rFonts w:hint="default" w:ascii="Symbol" w:hAnsi="Symbol"/>
      </w:rPr>
    </w:lvl>
  </w:abstractNum>
  <w:abstractNum w:abstractNumId="7">
    <w:nsid w:val="FFFFFF83"/>
    <w:multiLevelType w:val="singleLevel"/>
    <w:tmpl w:val="8ACAE8C4"/>
    <w:lvl w:ilvl="0">
      <w:start w:val="1"/>
      <w:numFmt w:val="bullet"/>
      <w:lvlText w:val=""/>
      <w:lvlJc w:val="left"/>
      <w:pPr>
        <w:tabs>
          <w:tab w:val="num" w:pos="720"/>
        </w:tabs>
        <w:ind w:left="720" w:hanging="360"/>
      </w:pPr>
      <w:rPr>
        <w:rFonts w:hint="default" w:ascii="Symbol" w:hAnsi="Symbol"/>
      </w:rPr>
    </w:lvl>
  </w:abstractNum>
  <w:abstractNum w:abstractNumId="8">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7F0FC44"/>
    <w:lvl w:ilvl="0">
      <w:start w:val="1"/>
      <w:numFmt w:val="bullet"/>
      <w:lvlText w:val=""/>
      <w:lvlJc w:val="left"/>
      <w:pPr>
        <w:tabs>
          <w:tab w:val="num" w:pos="360"/>
        </w:tabs>
        <w:ind w:left="360" w:hanging="360"/>
      </w:pPr>
      <w:rPr>
        <w:rFonts w:hint="default" w:ascii="Symbol" w:hAnsi="Symbol"/>
      </w:rPr>
    </w:lvl>
  </w:abstractNum>
  <w:abstractNum w:abstractNumId="1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true">
      <w:start w:val="1"/>
      <w:numFmt w:val="lowerLetter"/>
      <w:lvlText w:val="%2."/>
      <w:lvlJc w:val="left"/>
      <w:pPr>
        <w:tabs>
          <w:tab w:val="num" w:pos="1440"/>
        </w:tabs>
        <w:ind w:left="1440" w:hanging="360"/>
      </w:pPr>
      <w:rPr>
        <w:rFonts w:cs="Times New Roman"/>
      </w:rPr>
    </w:lvl>
    <w:lvl w:ilvl="2" w:tplc="0409001B" w:tentative="true">
      <w:start w:val="1"/>
      <w:numFmt w:val="lowerRoman"/>
      <w:lvlText w:val="%3."/>
      <w:lvlJc w:val="right"/>
      <w:pPr>
        <w:tabs>
          <w:tab w:val="num" w:pos="2160"/>
        </w:tabs>
        <w:ind w:left="2160" w:hanging="180"/>
      </w:pPr>
      <w:rPr>
        <w:rFonts w:cs="Times New Roman"/>
      </w:rPr>
    </w:lvl>
    <w:lvl w:ilvl="3" w:tplc="0409000F" w:tentative="true">
      <w:start w:val="1"/>
      <w:numFmt w:val="decimal"/>
      <w:lvlText w:val="%4."/>
      <w:lvlJc w:val="left"/>
      <w:pPr>
        <w:tabs>
          <w:tab w:val="num" w:pos="2880"/>
        </w:tabs>
        <w:ind w:left="2880" w:hanging="360"/>
      </w:pPr>
      <w:rPr>
        <w:rFonts w:cs="Times New Roman"/>
      </w:rPr>
    </w:lvl>
    <w:lvl w:ilvl="4" w:tplc="04090019" w:tentative="true">
      <w:start w:val="1"/>
      <w:numFmt w:val="lowerLetter"/>
      <w:lvlText w:val="%5."/>
      <w:lvlJc w:val="left"/>
      <w:pPr>
        <w:tabs>
          <w:tab w:val="num" w:pos="3600"/>
        </w:tabs>
        <w:ind w:left="3600" w:hanging="360"/>
      </w:pPr>
      <w:rPr>
        <w:rFonts w:cs="Times New Roman"/>
      </w:rPr>
    </w:lvl>
    <w:lvl w:ilvl="5" w:tplc="0409001B" w:tentative="true">
      <w:start w:val="1"/>
      <w:numFmt w:val="lowerRoman"/>
      <w:lvlText w:val="%6."/>
      <w:lvlJc w:val="right"/>
      <w:pPr>
        <w:tabs>
          <w:tab w:val="num" w:pos="4320"/>
        </w:tabs>
        <w:ind w:left="4320" w:hanging="180"/>
      </w:pPr>
      <w:rPr>
        <w:rFonts w:cs="Times New Roman"/>
      </w:rPr>
    </w:lvl>
    <w:lvl w:ilvl="6" w:tplc="0409000F" w:tentative="true">
      <w:start w:val="1"/>
      <w:numFmt w:val="decimal"/>
      <w:lvlText w:val="%7."/>
      <w:lvlJc w:val="left"/>
      <w:pPr>
        <w:tabs>
          <w:tab w:val="num" w:pos="5040"/>
        </w:tabs>
        <w:ind w:left="5040" w:hanging="360"/>
      </w:pPr>
      <w:rPr>
        <w:rFonts w:cs="Times New Roman"/>
      </w:rPr>
    </w:lvl>
    <w:lvl w:ilvl="7" w:tplc="04090019" w:tentative="true">
      <w:start w:val="1"/>
      <w:numFmt w:val="lowerLetter"/>
      <w:lvlText w:val="%8."/>
      <w:lvlJc w:val="left"/>
      <w:pPr>
        <w:tabs>
          <w:tab w:val="num" w:pos="5760"/>
        </w:tabs>
        <w:ind w:left="5760" w:hanging="360"/>
      </w:pPr>
      <w:rPr>
        <w:rFonts w:cs="Times New Roman"/>
      </w:rPr>
    </w:lvl>
    <w:lvl w:ilvl="8" w:tplc="0409001B" w:tentative="true">
      <w:start w:val="1"/>
      <w:numFmt w:val="lowerRoman"/>
      <w:lvlText w:val="%9."/>
      <w:lvlJc w:val="right"/>
      <w:pPr>
        <w:tabs>
          <w:tab w:val="num" w:pos="6480"/>
        </w:tabs>
        <w:ind w:left="6480" w:hanging="180"/>
      </w:pPr>
      <w:rPr>
        <w:rFonts w:cs="Times New Roman"/>
      </w:rPr>
    </w:lvl>
  </w:abstractNum>
  <w:abstractNum w:abstractNumId="11">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true">
      <w:start w:val="1"/>
      <w:numFmt w:val="lowerLetter"/>
      <w:lvlText w:val="%2."/>
      <w:lvlJc w:val="left"/>
      <w:pPr>
        <w:ind w:left="1440" w:hanging="360"/>
      </w:pPr>
      <w:rPr>
        <w:rFonts w:cs="Times New Roman"/>
      </w:rPr>
    </w:lvl>
    <w:lvl w:ilvl="2" w:tplc="0409001B" w:tentative="true">
      <w:start w:val="1"/>
      <w:numFmt w:val="lowerRoman"/>
      <w:lvlText w:val="%3."/>
      <w:lvlJc w:val="right"/>
      <w:pPr>
        <w:ind w:left="2160" w:hanging="180"/>
      </w:pPr>
      <w:rPr>
        <w:rFonts w:cs="Times New Roman"/>
      </w:rPr>
    </w:lvl>
    <w:lvl w:ilvl="3" w:tplc="0409000F" w:tentative="true">
      <w:start w:val="1"/>
      <w:numFmt w:val="decimal"/>
      <w:lvlText w:val="%4."/>
      <w:lvlJc w:val="left"/>
      <w:pPr>
        <w:ind w:left="2880" w:hanging="360"/>
      </w:pPr>
      <w:rPr>
        <w:rFonts w:cs="Times New Roman"/>
      </w:rPr>
    </w:lvl>
    <w:lvl w:ilvl="4" w:tplc="04090019" w:tentative="true">
      <w:start w:val="1"/>
      <w:numFmt w:val="lowerLetter"/>
      <w:lvlText w:val="%5."/>
      <w:lvlJc w:val="left"/>
      <w:pPr>
        <w:ind w:left="3600" w:hanging="360"/>
      </w:pPr>
      <w:rPr>
        <w:rFonts w:cs="Times New Roman"/>
      </w:rPr>
    </w:lvl>
    <w:lvl w:ilvl="5" w:tplc="0409001B" w:tentative="true">
      <w:start w:val="1"/>
      <w:numFmt w:val="lowerRoman"/>
      <w:lvlText w:val="%6."/>
      <w:lvlJc w:val="right"/>
      <w:pPr>
        <w:ind w:left="4320" w:hanging="180"/>
      </w:pPr>
      <w:rPr>
        <w:rFonts w:cs="Times New Roman"/>
      </w:rPr>
    </w:lvl>
    <w:lvl w:ilvl="6" w:tplc="0409000F" w:tentative="true">
      <w:start w:val="1"/>
      <w:numFmt w:val="decimal"/>
      <w:lvlText w:val="%7."/>
      <w:lvlJc w:val="left"/>
      <w:pPr>
        <w:ind w:left="5040" w:hanging="360"/>
      </w:pPr>
      <w:rPr>
        <w:rFonts w:cs="Times New Roman"/>
      </w:rPr>
    </w:lvl>
    <w:lvl w:ilvl="7" w:tplc="04090019" w:tentative="true">
      <w:start w:val="1"/>
      <w:numFmt w:val="lowerLetter"/>
      <w:lvlText w:val="%8."/>
      <w:lvlJc w:val="left"/>
      <w:pPr>
        <w:ind w:left="5760" w:hanging="360"/>
      </w:pPr>
      <w:rPr>
        <w:rFonts w:cs="Times New Roman"/>
      </w:rPr>
    </w:lvl>
    <w:lvl w:ilvl="8" w:tplc="0409001B" w:tentative="true">
      <w:start w:val="1"/>
      <w:numFmt w:val="lowerRoman"/>
      <w:lvlText w:val="%9."/>
      <w:lvlJc w:val="right"/>
      <w:pPr>
        <w:ind w:left="6480" w:hanging="180"/>
      </w:pPr>
      <w:rPr>
        <w:rFonts w:cs="Times New Roman"/>
      </w:rPr>
    </w:lvl>
  </w:abstractNum>
  <w:abstractNum w:abstractNumId="12">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true">
      <w:start w:val="1"/>
      <w:numFmt w:val="lowerLetter"/>
      <w:lvlText w:val="%2."/>
      <w:lvlJc w:val="left"/>
      <w:pPr>
        <w:tabs>
          <w:tab w:val="num" w:pos="1080"/>
        </w:tabs>
        <w:ind w:left="1080" w:hanging="360"/>
      </w:pPr>
      <w:rPr>
        <w:rFonts w:cs="Times New Roman"/>
      </w:rPr>
    </w:lvl>
    <w:lvl w:ilvl="2" w:tplc="0409001B" w:tentative="true">
      <w:start w:val="1"/>
      <w:numFmt w:val="lowerRoman"/>
      <w:lvlText w:val="%3."/>
      <w:lvlJc w:val="right"/>
      <w:pPr>
        <w:tabs>
          <w:tab w:val="num" w:pos="1800"/>
        </w:tabs>
        <w:ind w:left="1800" w:hanging="180"/>
      </w:pPr>
      <w:rPr>
        <w:rFonts w:cs="Times New Roman"/>
      </w:rPr>
    </w:lvl>
    <w:lvl w:ilvl="3" w:tplc="0409000F" w:tentative="true">
      <w:start w:val="1"/>
      <w:numFmt w:val="decimal"/>
      <w:lvlText w:val="%4."/>
      <w:lvlJc w:val="left"/>
      <w:pPr>
        <w:tabs>
          <w:tab w:val="num" w:pos="2520"/>
        </w:tabs>
        <w:ind w:left="2520" w:hanging="360"/>
      </w:pPr>
      <w:rPr>
        <w:rFonts w:cs="Times New Roman"/>
      </w:rPr>
    </w:lvl>
    <w:lvl w:ilvl="4" w:tplc="04090019" w:tentative="true">
      <w:start w:val="1"/>
      <w:numFmt w:val="lowerLetter"/>
      <w:lvlText w:val="%5."/>
      <w:lvlJc w:val="left"/>
      <w:pPr>
        <w:tabs>
          <w:tab w:val="num" w:pos="3240"/>
        </w:tabs>
        <w:ind w:left="3240" w:hanging="360"/>
      </w:pPr>
      <w:rPr>
        <w:rFonts w:cs="Times New Roman"/>
      </w:rPr>
    </w:lvl>
    <w:lvl w:ilvl="5" w:tplc="0409001B" w:tentative="true">
      <w:start w:val="1"/>
      <w:numFmt w:val="lowerRoman"/>
      <w:lvlText w:val="%6."/>
      <w:lvlJc w:val="right"/>
      <w:pPr>
        <w:tabs>
          <w:tab w:val="num" w:pos="3960"/>
        </w:tabs>
        <w:ind w:left="3960" w:hanging="180"/>
      </w:pPr>
      <w:rPr>
        <w:rFonts w:cs="Times New Roman"/>
      </w:rPr>
    </w:lvl>
    <w:lvl w:ilvl="6" w:tplc="0409000F" w:tentative="true">
      <w:start w:val="1"/>
      <w:numFmt w:val="decimal"/>
      <w:lvlText w:val="%7."/>
      <w:lvlJc w:val="left"/>
      <w:pPr>
        <w:tabs>
          <w:tab w:val="num" w:pos="4680"/>
        </w:tabs>
        <w:ind w:left="4680" w:hanging="360"/>
      </w:pPr>
      <w:rPr>
        <w:rFonts w:cs="Times New Roman"/>
      </w:rPr>
    </w:lvl>
    <w:lvl w:ilvl="7" w:tplc="04090019" w:tentative="true">
      <w:start w:val="1"/>
      <w:numFmt w:val="lowerLetter"/>
      <w:lvlText w:val="%8."/>
      <w:lvlJc w:val="left"/>
      <w:pPr>
        <w:tabs>
          <w:tab w:val="num" w:pos="5400"/>
        </w:tabs>
        <w:ind w:left="5400" w:hanging="360"/>
      </w:pPr>
      <w:rPr>
        <w:rFonts w:cs="Times New Roman"/>
      </w:rPr>
    </w:lvl>
    <w:lvl w:ilvl="8" w:tplc="0409001B" w:tentative="true">
      <w:start w:val="1"/>
      <w:numFmt w:val="lowerRoman"/>
      <w:lvlText w:val="%9."/>
      <w:lvlJc w:val="right"/>
      <w:pPr>
        <w:tabs>
          <w:tab w:val="num" w:pos="6120"/>
        </w:tabs>
        <w:ind w:left="6120" w:hanging="180"/>
      </w:pPr>
      <w:rPr>
        <w:rFonts w:cs="Times New Roman"/>
      </w:rPr>
    </w:lvl>
  </w:abstractNum>
  <w:abstractNum w:abstractNumId="13">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true">
      <w:start w:val="1"/>
      <w:numFmt w:val="lowerLetter"/>
      <w:lvlText w:val="%2."/>
      <w:lvlJc w:val="left"/>
      <w:pPr>
        <w:tabs>
          <w:tab w:val="num" w:pos="1080"/>
        </w:tabs>
        <w:ind w:left="1080" w:hanging="360"/>
      </w:pPr>
      <w:rPr>
        <w:rFonts w:cs="Times New Roman"/>
      </w:rPr>
    </w:lvl>
    <w:lvl w:ilvl="2" w:tplc="0409001B" w:tentative="true">
      <w:start w:val="1"/>
      <w:numFmt w:val="lowerRoman"/>
      <w:lvlText w:val="%3."/>
      <w:lvlJc w:val="right"/>
      <w:pPr>
        <w:tabs>
          <w:tab w:val="num" w:pos="1800"/>
        </w:tabs>
        <w:ind w:left="1800" w:hanging="180"/>
      </w:pPr>
      <w:rPr>
        <w:rFonts w:cs="Times New Roman"/>
      </w:rPr>
    </w:lvl>
    <w:lvl w:ilvl="3" w:tplc="0409000F" w:tentative="true">
      <w:start w:val="1"/>
      <w:numFmt w:val="decimal"/>
      <w:lvlText w:val="%4."/>
      <w:lvlJc w:val="left"/>
      <w:pPr>
        <w:tabs>
          <w:tab w:val="num" w:pos="2520"/>
        </w:tabs>
        <w:ind w:left="2520" w:hanging="360"/>
      </w:pPr>
      <w:rPr>
        <w:rFonts w:cs="Times New Roman"/>
      </w:rPr>
    </w:lvl>
    <w:lvl w:ilvl="4" w:tplc="04090019" w:tentative="true">
      <w:start w:val="1"/>
      <w:numFmt w:val="lowerLetter"/>
      <w:lvlText w:val="%5."/>
      <w:lvlJc w:val="left"/>
      <w:pPr>
        <w:tabs>
          <w:tab w:val="num" w:pos="3240"/>
        </w:tabs>
        <w:ind w:left="3240" w:hanging="360"/>
      </w:pPr>
      <w:rPr>
        <w:rFonts w:cs="Times New Roman"/>
      </w:rPr>
    </w:lvl>
    <w:lvl w:ilvl="5" w:tplc="0409001B" w:tentative="true">
      <w:start w:val="1"/>
      <w:numFmt w:val="lowerRoman"/>
      <w:lvlText w:val="%6."/>
      <w:lvlJc w:val="right"/>
      <w:pPr>
        <w:tabs>
          <w:tab w:val="num" w:pos="3960"/>
        </w:tabs>
        <w:ind w:left="3960" w:hanging="180"/>
      </w:pPr>
      <w:rPr>
        <w:rFonts w:cs="Times New Roman"/>
      </w:rPr>
    </w:lvl>
    <w:lvl w:ilvl="6" w:tplc="0409000F" w:tentative="true">
      <w:start w:val="1"/>
      <w:numFmt w:val="decimal"/>
      <w:lvlText w:val="%7."/>
      <w:lvlJc w:val="left"/>
      <w:pPr>
        <w:tabs>
          <w:tab w:val="num" w:pos="4680"/>
        </w:tabs>
        <w:ind w:left="4680" w:hanging="360"/>
      </w:pPr>
      <w:rPr>
        <w:rFonts w:cs="Times New Roman"/>
      </w:rPr>
    </w:lvl>
    <w:lvl w:ilvl="7" w:tplc="04090019" w:tentative="true">
      <w:start w:val="1"/>
      <w:numFmt w:val="lowerLetter"/>
      <w:lvlText w:val="%8."/>
      <w:lvlJc w:val="left"/>
      <w:pPr>
        <w:tabs>
          <w:tab w:val="num" w:pos="5400"/>
        </w:tabs>
        <w:ind w:left="5400" w:hanging="360"/>
      </w:pPr>
      <w:rPr>
        <w:rFonts w:cs="Times New Roman"/>
      </w:rPr>
    </w:lvl>
    <w:lvl w:ilvl="8" w:tplc="0409001B" w:tentative="true">
      <w:start w:val="1"/>
      <w:numFmt w:val="lowerRoman"/>
      <w:lvlText w:val="%9."/>
      <w:lvlJc w:val="right"/>
      <w:pPr>
        <w:tabs>
          <w:tab w:val="num" w:pos="6120"/>
        </w:tabs>
        <w:ind w:left="6120" w:hanging="180"/>
      </w:pPr>
      <w:rPr>
        <w:rFonts w:cs="Times New Roman"/>
      </w:rPr>
    </w:lvl>
  </w:abstractNum>
  <w:abstractNum w:abstractNumId="14">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true">
      <w:start w:val="1"/>
      <w:numFmt w:val="lowerLetter"/>
      <w:lvlText w:val="%2."/>
      <w:lvlJc w:val="left"/>
      <w:pPr>
        <w:tabs>
          <w:tab w:val="num" w:pos="1080"/>
        </w:tabs>
        <w:ind w:left="1080" w:hanging="360"/>
      </w:pPr>
      <w:rPr>
        <w:rFonts w:cs="Times New Roman"/>
      </w:rPr>
    </w:lvl>
    <w:lvl w:ilvl="2" w:tplc="0409001B" w:tentative="true">
      <w:start w:val="1"/>
      <w:numFmt w:val="lowerRoman"/>
      <w:lvlText w:val="%3."/>
      <w:lvlJc w:val="right"/>
      <w:pPr>
        <w:tabs>
          <w:tab w:val="num" w:pos="1800"/>
        </w:tabs>
        <w:ind w:left="1800" w:hanging="180"/>
      </w:pPr>
      <w:rPr>
        <w:rFonts w:cs="Times New Roman"/>
      </w:rPr>
    </w:lvl>
    <w:lvl w:ilvl="3" w:tplc="0409000F" w:tentative="true">
      <w:start w:val="1"/>
      <w:numFmt w:val="decimal"/>
      <w:lvlText w:val="%4."/>
      <w:lvlJc w:val="left"/>
      <w:pPr>
        <w:tabs>
          <w:tab w:val="num" w:pos="2520"/>
        </w:tabs>
        <w:ind w:left="2520" w:hanging="360"/>
      </w:pPr>
      <w:rPr>
        <w:rFonts w:cs="Times New Roman"/>
      </w:rPr>
    </w:lvl>
    <w:lvl w:ilvl="4" w:tplc="04090019" w:tentative="true">
      <w:start w:val="1"/>
      <w:numFmt w:val="lowerLetter"/>
      <w:lvlText w:val="%5."/>
      <w:lvlJc w:val="left"/>
      <w:pPr>
        <w:tabs>
          <w:tab w:val="num" w:pos="3240"/>
        </w:tabs>
        <w:ind w:left="3240" w:hanging="360"/>
      </w:pPr>
      <w:rPr>
        <w:rFonts w:cs="Times New Roman"/>
      </w:rPr>
    </w:lvl>
    <w:lvl w:ilvl="5" w:tplc="0409001B" w:tentative="true">
      <w:start w:val="1"/>
      <w:numFmt w:val="lowerRoman"/>
      <w:lvlText w:val="%6."/>
      <w:lvlJc w:val="right"/>
      <w:pPr>
        <w:tabs>
          <w:tab w:val="num" w:pos="3960"/>
        </w:tabs>
        <w:ind w:left="3960" w:hanging="180"/>
      </w:pPr>
      <w:rPr>
        <w:rFonts w:cs="Times New Roman"/>
      </w:rPr>
    </w:lvl>
    <w:lvl w:ilvl="6" w:tplc="0409000F" w:tentative="true">
      <w:start w:val="1"/>
      <w:numFmt w:val="decimal"/>
      <w:lvlText w:val="%7."/>
      <w:lvlJc w:val="left"/>
      <w:pPr>
        <w:tabs>
          <w:tab w:val="num" w:pos="4680"/>
        </w:tabs>
        <w:ind w:left="4680" w:hanging="360"/>
      </w:pPr>
      <w:rPr>
        <w:rFonts w:cs="Times New Roman"/>
      </w:rPr>
    </w:lvl>
    <w:lvl w:ilvl="7" w:tplc="04090019" w:tentative="true">
      <w:start w:val="1"/>
      <w:numFmt w:val="lowerLetter"/>
      <w:lvlText w:val="%8."/>
      <w:lvlJc w:val="left"/>
      <w:pPr>
        <w:tabs>
          <w:tab w:val="num" w:pos="5400"/>
        </w:tabs>
        <w:ind w:left="5400" w:hanging="360"/>
      </w:pPr>
      <w:rPr>
        <w:rFonts w:cs="Times New Roman"/>
      </w:rPr>
    </w:lvl>
    <w:lvl w:ilvl="8" w:tplc="0409001B" w:tentative="true">
      <w:start w:val="1"/>
      <w:numFmt w:val="lowerRoman"/>
      <w:lvlText w:val="%9."/>
      <w:lvlJc w:val="right"/>
      <w:pPr>
        <w:tabs>
          <w:tab w:val="num" w:pos="6120"/>
        </w:tabs>
        <w:ind w:left="6120" w:hanging="180"/>
      </w:pPr>
      <w:rPr>
        <w:rFonts w:cs="Times New Roman"/>
      </w:rPr>
    </w:lvl>
  </w:abstractNum>
  <w:abstractNum w:abstractNumId="15">
    <w:nsid w:val="7CAD51AB"/>
    <w:multiLevelType w:val="hybridMultilevel"/>
    <w:tmpl w:val="242AB0BC"/>
    <w:lvl w:ilvl="0" w:tplc="0409000F">
      <w:start w:val="1"/>
      <w:numFmt w:val="decimal"/>
      <w:lvlText w:val="%1."/>
      <w:lvlJc w:val="left"/>
      <w:pPr>
        <w:tabs>
          <w:tab w:val="num" w:pos="360"/>
        </w:tabs>
        <w:ind w:left="360" w:hanging="360"/>
      </w:pPr>
      <w:rPr>
        <w:rFonts w:hint="default" w:cs="Times New Roman"/>
      </w:rPr>
    </w:lvl>
    <w:lvl w:ilvl="1" w:tplc="04090019" w:tentative="true">
      <w:start w:val="1"/>
      <w:numFmt w:val="lowerLetter"/>
      <w:lvlText w:val="%2."/>
      <w:lvlJc w:val="left"/>
      <w:pPr>
        <w:tabs>
          <w:tab w:val="num" w:pos="1080"/>
        </w:tabs>
        <w:ind w:left="1080" w:hanging="360"/>
      </w:pPr>
      <w:rPr>
        <w:rFonts w:cs="Times New Roman"/>
      </w:rPr>
    </w:lvl>
    <w:lvl w:ilvl="2" w:tplc="0409001B" w:tentative="true">
      <w:start w:val="1"/>
      <w:numFmt w:val="lowerRoman"/>
      <w:lvlText w:val="%3."/>
      <w:lvlJc w:val="right"/>
      <w:pPr>
        <w:tabs>
          <w:tab w:val="num" w:pos="1800"/>
        </w:tabs>
        <w:ind w:left="1800" w:hanging="180"/>
      </w:pPr>
      <w:rPr>
        <w:rFonts w:cs="Times New Roman"/>
      </w:rPr>
    </w:lvl>
    <w:lvl w:ilvl="3" w:tplc="0409000F" w:tentative="true">
      <w:start w:val="1"/>
      <w:numFmt w:val="decimal"/>
      <w:lvlText w:val="%4."/>
      <w:lvlJc w:val="left"/>
      <w:pPr>
        <w:tabs>
          <w:tab w:val="num" w:pos="2520"/>
        </w:tabs>
        <w:ind w:left="2520" w:hanging="360"/>
      </w:pPr>
      <w:rPr>
        <w:rFonts w:cs="Times New Roman"/>
      </w:rPr>
    </w:lvl>
    <w:lvl w:ilvl="4" w:tplc="04090019" w:tentative="true">
      <w:start w:val="1"/>
      <w:numFmt w:val="lowerLetter"/>
      <w:lvlText w:val="%5."/>
      <w:lvlJc w:val="left"/>
      <w:pPr>
        <w:tabs>
          <w:tab w:val="num" w:pos="3240"/>
        </w:tabs>
        <w:ind w:left="3240" w:hanging="360"/>
      </w:pPr>
      <w:rPr>
        <w:rFonts w:cs="Times New Roman"/>
      </w:rPr>
    </w:lvl>
    <w:lvl w:ilvl="5" w:tplc="0409001B" w:tentative="true">
      <w:start w:val="1"/>
      <w:numFmt w:val="lowerRoman"/>
      <w:lvlText w:val="%6."/>
      <w:lvlJc w:val="right"/>
      <w:pPr>
        <w:tabs>
          <w:tab w:val="num" w:pos="3960"/>
        </w:tabs>
        <w:ind w:left="3960" w:hanging="180"/>
      </w:pPr>
      <w:rPr>
        <w:rFonts w:cs="Times New Roman"/>
      </w:rPr>
    </w:lvl>
    <w:lvl w:ilvl="6" w:tplc="0409000F" w:tentative="true">
      <w:start w:val="1"/>
      <w:numFmt w:val="decimal"/>
      <w:lvlText w:val="%7."/>
      <w:lvlJc w:val="left"/>
      <w:pPr>
        <w:tabs>
          <w:tab w:val="num" w:pos="4680"/>
        </w:tabs>
        <w:ind w:left="4680" w:hanging="360"/>
      </w:pPr>
      <w:rPr>
        <w:rFonts w:cs="Times New Roman"/>
      </w:rPr>
    </w:lvl>
    <w:lvl w:ilvl="7" w:tplc="04090019" w:tentative="true">
      <w:start w:val="1"/>
      <w:numFmt w:val="lowerLetter"/>
      <w:lvlText w:val="%8."/>
      <w:lvlJc w:val="left"/>
      <w:pPr>
        <w:tabs>
          <w:tab w:val="num" w:pos="5400"/>
        </w:tabs>
        <w:ind w:left="5400" w:hanging="360"/>
      </w:pPr>
      <w:rPr>
        <w:rFonts w:cs="Times New Roman"/>
      </w:rPr>
    </w:lvl>
    <w:lvl w:ilvl="8" w:tplc="0409001B" w:tentative="true">
      <w:start w:val="1"/>
      <w:numFmt w:val="lowerRoman"/>
      <w:lvlText w:val="%9."/>
      <w:lvlJc w:val="right"/>
      <w:pPr>
        <w:tabs>
          <w:tab w:val="num" w:pos="6120"/>
        </w:tabs>
        <w:ind w:left="6120" w:hanging="180"/>
      </w:pPr>
      <w:rPr>
        <w:rFonts w:cs="Times New Roman"/>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5"/>
  </w:num>
  <w:num w:numId="14">
    <w:abstractNumId w:val="13"/>
  </w:num>
  <w:num w:numId="15">
    <w:abstractNumId w:val="12"/>
  </w:num>
  <w:num w:numId="16">
    <w:abstractNumId w:val="14"/>
  </w:num>
</w:numbering>
</file>

<file path=word/settings.xml><?xml version="1.0" encoding="utf-8"?>
<w:setting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view w:val="print"/>
  <w:hideSpellingErrors/>
  <w:hideGrammaticalErrors/>
  <w:trackRevisions w:val="fal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50"/>
    <w:rsid w:val="00000EC6"/>
    <w:rsid w:val="00001671"/>
    <w:rsid w:val="0000299C"/>
    <w:rsid w:val="000035A3"/>
    <w:rsid w:val="00003E3A"/>
    <w:rsid w:val="00004F01"/>
    <w:rsid w:val="000055F1"/>
    <w:rsid w:val="00006999"/>
    <w:rsid w:val="00007A74"/>
    <w:rsid w:val="000101FE"/>
    <w:rsid w:val="000109A7"/>
    <w:rsid w:val="000116B2"/>
    <w:rsid w:val="00012E9D"/>
    <w:rsid w:val="00013481"/>
    <w:rsid w:val="000146AF"/>
    <w:rsid w:val="00014B5F"/>
    <w:rsid w:val="0001643E"/>
    <w:rsid w:val="0001694F"/>
    <w:rsid w:val="00017C8C"/>
    <w:rsid w:val="000202EB"/>
    <w:rsid w:val="000204C7"/>
    <w:rsid w:val="00022CF5"/>
    <w:rsid w:val="000237FC"/>
    <w:rsid w:val="000250A9"/>
    <w:rsid w:val="0002592E"/>
    <w:rsid w:val="00025951"/>
    <w:rsid w:val="00025DEC"/>
    <w:rsid w:val="00026149"/>
    <w:rsid w:val="00027899"/>
    <w:rsid w:val="00027FD4"/>
    <w:rsid w:val="00030C85"/>
    <w:rsid w:val="00031960"/>
    <w:rsid w:val="00032C1E"/>
    <w:rsid w:val="0003300B"/>
    <w:rsid w:val="0003316E"/>
    <w:rsid w:val="00033A35"/>
    <w:rsid w:val="0003459B"/>
    <w:rsid w:val="00035628"/>
    <w:rsid w:val="000357CA"/>
    <w:rsid w:val="00035F04"/>
    <w:rsid w:val="000365DA"/>
    <w:rsid w:val="00040E81"/>
    <w:rsid w:val="0004164B"/>
    <w:rsid w:val="00042C4D"/>
    <w:rsid w:val="0004355B"/>
    <w:rsid w:val="00043B67"/>
    <w:rsid w:val="00044565"/>
    <w:rsid w:val="00044EC9"/>
    <w:rsid w:val="00047DD2"/>
    <w:rsid w:val="00047E3E"/>
    <w:rsid w:val="0005057C"/>
    <w:rsid w:val="000518AA"/>
    <w:rsid w:val="00052543"/>
    <w:rsid w:val="0005399B"/>
    <w:rsid w:val="00053D85"/>
    <w:rsid w:val="00053E62"/>
    <w:rsid w:val="00054780"/>
    <w:rsid w:val="000549C7"/>
    <w:rsid w:val="00054D96"/>
    <w:rsid w:val="00056828"/>
    <w:rsid w:val="00057E29"/>
    <w:rsid w:val="00060CE4"/>
    <w:rsid w:val="00061845"/>
    <w:rsid w:val="00061B37"/>
    <w:rsid w:val="00061E41"/>
    <w:rsid w:val="000620FD"/>
    <w:rsid w:val="000623F4"/>
    <w:rsid w:val="00063F1C"/>
    <w:rsid w:val="00065D4E"/>
    <w:rsid w:val="000661A8"/>
    <w:rsid w:val="00066237"/>
    <w:rsid w:val="000670CF"/>
    <w:rsid w:val="00067FD4"/>
    <w:rsid w:val="00070633"/>
    <w:rsid w:val="00071C7C"/>
    <w:rsid w:val="00072C8A"/>
    <w:rsid w:val="00072F46"/>
    <w:rsid w:val="000734F6"/>
    <w:rsid w:val="00073E7A"/>
    <w:rsid w:val="00074919"/>
    <w:rsid w:val="00074DEF"/>
    <w:rsid w:val="0007533E"/>
    <w:rsid w:val="00075AB2"/>
    <w:rsid w:val="0007671E"/>
    <w:rsid w:val="00076CF5"/>
    <w:rsid w:val="00076D36"/>
    <w:rsid w:val="00077619"/>
    <w:rsid w:val="00077A7A"/>
    <w:rsid w:val="00077F16"/>
    <w:rsid w:val="00080209"/>
    <w:rsid w:val="0008068E"/>
    <w:rsid w:val="00080943"/>
    <w:rsid w:val="00080ECB"/>
    <w:rsid w:val="00080FA0"/>
    <w:rsid w:val="00081076"/>
    <w:rsid w:val="00081136"/>
    <w:rsid w:val="0008221D"/>
    <w:rsid w:val="0008229D"/>
    <w:rsid w:val="000825DF"/>
    <w:rsid w:val="0008289F"/>
    <w:rsid w:val="000831B8"/>
    <w:rsid w:val="000832B3"/>
    <w:rsid w:val="0008384E"/>
    <w:rsid w:val="00083952"/>
    <w:rsid w:val="00083B49"/>
    <w:rsid w:val="00083BEB"/>
    <w:rsid w:val="00084058"/>
    <w:rsid w:val="0008420F"/>
    <w:rsid w:val="00084385"/>
    <w:rsid w:val="00084E02"/>
    <w:rsid w:val="00085ECE"/>
    <w:rsid w:val="0008764E"/>
    <w:rsid w:val="00087BEC"/>
    <w:rsid w:val="00091139"/>
    <w:rsid w:val="000920F8"/>
    <w:rsid w:val="00092FA7"/>
    <w:rsid w:val="00093600"/>
    <w:rsid w:val="0009415B"/>
    <w:rsid w:val="0009419B"/>
    <w:rsid w:val="00094C65"/>
    <w:rsid w:val="00096632"/>
    <w:rsid w:val="00096BAB"/>
    <w:rsid w:val="00096FE3"/>
    <w:rsid w:val="000975D9"/>
    <w:rsid w:val="00097D73"/>
    <w:rsid w:val="000A22C7"/>
    <w:rsid w:val="000A3328"/>
    <w:rsid w:val="000A3869"/>
    <w:rsid w:val="000A3AF5"/>
    <w:rsid w:val="000A3DED"/>
    <w:rsid w:val="000A49C3"/>
    <w:rsid w:val="000A6604"/>
    <w:rsid w:val="000A7EAA"/>
    <w:rsid w:val="000A7EB6"/>
    <w:rsid w:val="000B0148"/>
    <w:rsid w:val="000B05D4"/>
    <w:rsid w:val="000B0735"/>
    <w:rsid w:val="000B1705"/>
    <w:rsid w:val="000B291F"/>
    <w:rsid w:val="000B3DD8"/>
    <w:rsid w:val="000B45BD"/>
    <w:rsid w:val="000B5D24"/>
    <w:rsid w:val="000B6036"/>
    <w:rsid w:val="000B6192"/>
    <w:rsid w:val="000B6842"/>
    <w:rsid w:val="000B7A3C"/>
    <w:rsid w:val="000C0752"/>
    <w:rsid w:val="000C0905"/>
    <w:rsid w:val="000C0B16"/>
    <w:rsid w:val="000C20FC"/>
    <w:rsid w:val="000C23F6"/>
    <w:rsid w:val="000C265E"/>
    <w:rsid w:val="000C3ACA"/>
    <w:rsid w:val="000C5AF9"/>
    <w:rsid w:val="000C666E"/>
    <w:rsid w:val="000C7403"/>
    <w:rsid w:val="000C74F3"/>
    <w:rsid w:val="000D01E0"/>
    <w:rsid w:val="000D14F6"/>
    <w:rsid w:val="000D1DC9"/>
    <w:rsid w:val="000D422A"/>
    <w:rsid w:val="000D488E"/>
    <w:rsid w:val="000D6A4D"/>
    <w:rsid w:val="000D6CFF"/>
    <w:rsid w:val="000D71A6"/>
    <w:rsid w:val="000D7D16"/>
    <w:rsid w:val="000E0343"/>
    <w:rsid w:val="000E0AAE"/>
    <w:rsid w:val="000E0D5D"/>
    <w:rsid w:val="000E13BA"/>
    <w:rsid w:val="000E1DFB"/>
    <w:rsid w:val="000E1F9B"/>
    <w:rsid w:val="000E2A69"/>
    <w:rsid w:val="000E2C4D"/>
    <w:rsid w:val="000E4A11"/>
    <w:rsid w:val="000E5032"/>
    <w:rsid w:val="000E53D6"/>
    <w:rsid w:val="000E5FBD"/>
    <w:rsid w:val="000E60F9"/>
    <w:rsid w:val="000E6121"/>
    <w:rsid w:val="000E640E"/>
    <w:rsid w:val="000E6B9A"/>
    <w:rsid w:val="000E6CB6"/>
    <w:rsid w:val="000F04AF"/>
    <w:rsid w:val="000F0F15"/>
    <w:rsid w:val="000F1426"/>
    <w:rsid w:val="000F21DE"/>
    <w:rsid w:val="000F503D"/>
    <w:rsid w:val="000F683C"/>
    <w:rsid w:val="000F6B53"/>
    <w:rsid w:val="001000D7"/>
    <w:rsid w:val="00101E3D"/>
    <w:rsid w:val="00102442"/>
    <w:rsid w:val="0010332E"/>
    <w:rsid w:val="00104032"/>
    <w:rsid w:val="0010487A"/>
    <w:rsid w:val="00106CAB"/>
    <w:rsid w:val="0010757C"/>
    <w:rsid w:val="001101BB"/>
    <w:rsid w:val="001105E4"/>
    <w:rsid w:val="00111CFD"/>
    <w:rsid w:val="00111DEA"/>
    <w:rsid w:val="00111F9F"/>
    <w:rsid w:val="001121F8"/>
    <w:rsid w:val="00112F30"/>
    <w:rsid w:val="0011341D"/>
    <w:rsid w:val="0011453E"/>
    <w:rsid w:val="00114CA6"/>
    <w:rsid w:val="00115066"/>
    <w:rsid w:val="00117AB9"/>
    <w:rsid w:val="00117CAF"/>
    <w:rsid w:val="00120904"/>
    <w:rsid w:val="00123B67"/>
    <w:rsid w:val="001244C5"/>
    <w:rsid w:val="00124E85"/>
    <w:rsid w:val="00125428"/>
    <w:rsid w:val="001256B0"/>
    <w:rsid w:val="00125FCA"/>
    <w:rsid w:val="00126022"/>
    <w:rsid w:val="001261A0"/>
    <w:rsid w:val="001274C4"/>
    <w:rsid w:val="00132B0C"/>
    <w:rsid w:val="00132CEA"/>
    <w:rsid w:val="00133EA4"/>
    <w:rsid w:val="00134B79"/>
    <w:rsid w:val="0013545A"/>
    <w:rsid w:val="00135B76"/>
    <w:rsid w:val="00135EA7"/>
    <w:rsid w:val="00136724"/>
    <w:rsid w:val="00137DF0"/>
    <w:rsid w:val="00141F8B"/>
    <w:rsid w:val="001426D3"/>
    <w:rsid w:val="001442FB"/>
    <w:rsid w:val="001452F7"/>
    <w:rsid w:val="0014572F"/>
    <w:rsid w:val="001460FB"/>
    <w:rsid w:val="00146B9A"/>
    <w:rsid w:val="0014790F"/>
    <w:rsid w:val="0015000D"/>
    <w:rsid w:val="00150082"/>
    <w:rsid w:val="001501DB"/>
    <w:rsid w:val="00150A50"/>
    <w:rsid w:val="00150B00"/>
    <w:rsid w:val="00151FDE"/>
    <w:rsid w:val="001539D4"/>
    <w:rsid w:val="0015548F"/>
    <w:rsid w:val="00156045"/>
    <w:rsid w:val="00156205"/>
    <w:rsid w:val="00157867"/>
    <w:rsid w:val="00157D8A"/>
    <w:rsid w:val="00157DD0"/>
    <w:rsid w:val="0016089C"/>
    <w:rsid w:val="00160AC1"/>
    <w:rsid w:val="00162077"/>
    <w:rsid w:val="0016267E"/>
    <w:rsid w:val="00162A99"/>
    <w:rsid w:val="00163BA8"/>
    <w:rsid w:val="00164969"/>
    <w:rsid w:val="001657BA"/>
    <w:rsid w:val="00165B3F"/>
    <w:rsid w:val="00166377"/>
    <w:rsid w:val="00166FC2"/>
    <w:rsid w:val="00167346"/>
    <w:rsid w:val="001703C2"/>
    <w:rsid w:val="001728FD"/>
    <w:rsid w:val="00172A41"/>
    <w:rsid w:val="00172D3C"/>
    <w:rsid w:val="00173660"/>
    <w:rsid w:val="0017391B"/>
    <w:rsid w:val="00173954"/>
    <w:rsid w:val="001748A8"/>
    <w:rsid w:val="00174E22"/>
    <w:rsid w:val="00174F62"/>
    <w:rsid w:val="00175A92"/>
    <w:rsid w:val="00176F2C"/>
    <w:rsid w:val="0017730C"/>
    <w:rsid w:val="00177DEF"/>
    <w:rsid w:val="00180218"/>
    <w:rsid w:val="00180753"/>
    <w:rsid w:val="00181247"/>
    <w:rsid w:val="00181253"/>
    <w:rsid w:val="00182552"/>
    <w:rsid w:val="00182A06"/>
    <w:rsid w:val="00183202"/>
    <w:rsid w:val="0018383F"/>
    <w:rsid w:val="0018415D"/>
    <w:rsid w:val="00184182"/>
    <w:rsid w:val="00184AE8"/>
    <w:rsid w:val="00184B4B"/>
    <w:rsid w:val="00184CFB"/>
    <w:rsid w:val="00184F71"/>
    <w:rsid w:val="00184F89"/>
    <w:rsid w:val="00186776"/>
    <w:rsid w:val="001876CD"/>
    <w:rsid w:val="00190078"/>
    <w:rsid w:val="00190429"/>
    <w:rsid w:val="00192527"/>
    <w:rsid w:val="00192E4D"/>
    <w:rsid w:val="00193AF0"/>
    <w:rsid w:val="0019437E"/>
    <w:rsid w:val="001949B1"/>
    <w:rsid w:val="00194CDA"/>
    <w:rsid w:val="00194DE6"/>
    <w:rsid w:val="001964F3"/>
    <w:rsid w:val="00197A7A"/>
    <w:rsid w:val="00197C72"/>
    <w:rsid w:val="001A0074"/>
    <w:rsid w:val="001A0F7B"/>
    <w:rsid w:val="001A1131"/>
    <w:rsid w:val="001A226D"/>
    <w:rsid w:val="001A44BB"/>
    <w:rsid w:val="001A4F93"/>
    <w:rsid w:val="001A6644"/>
    <w:rsid w:val="001A6F81"/>
    <w:rsid w:val="001A7613"/>
    <w:rsid w:val="001A7F28"/>
    <w:rsid w:val="001B0BA7"/>
    <w:rsid w:val="001B177E"/>
    <w:rsid w:val="001B469C"/>
    <w:rsid w:val="001B5AF8"/>
    <w:rsid w:val="001B64F7"/>
    <w:rsid w:val="001B6520"/>
    <w:rsid w:val="001B6936"/>
    <w:rsid w:val="001B75E2"/>
    <w:rsid w:val="001B7DB9"/>
    <w:rsid w:val="001C1880"/>
    <w:rsid w:val="001C1B65"/>
    <w:rsid w:val="001C2492"/>
    <w:rsid w:val="001C2692"/>
    <w:rsid w:val="001C38E2"/>
    <w:rsid w:val="001C3C19"/>
    <w:rsid w:val="001C3E92"/>
    <w:rsid w:val="001C4867"/>
    <w:rsid w:val="001C4EAB"/>
    <w:rsid w:val="001C516A"/>
    <w:rsid w:val="001C61C3"/>
    <w:rsid w:val="001C696A"/>
    <w:rsid w:val="001C6CFF"/>
    <w:rsid w:val="001C79ED"/>
    <w:rsid w:val="001D0384"/>
    <w:rsid w:val="001D20E3"/>
    <w:rsid w:val="001D285F"/>
    <w:rsid w:val="001D3A7D"/>
    <w:rsid w:val="001D4366"/>
    <w:rsid w:val="001D5457"/>
    <w:rsid w:val="001D68CD"/>
    <w:rsid w:val="001D6AF5"/>
    <w:rsid w:val="001D6ECF"/>
    <w:rsid w:val="001D7832"/>
    <w:rsid w:val="001D78ED"/>
    <w:rsid w:val="001D79E2"/>
    <w:rsid w:val="001E1072"/>
    <w:rsid w:val="001E2322"/>
    <w:rsid w:val="001E325A"/>
    <w:rsid w:val="001E3EA8"/>
    <w:rsid w:val="001E47F6"/>
    <w:rsid w:val="001E4C5B"/>
    <w:rsid w:val="001E4D04"/>
    <w:rsid w:val="001E551F"/>
    <w:rsid w:val="001E61D5"/>
    <w:rsid w:val="001E6312"/>
    <w:rsid w:val="001E6E6E"/>
    <w:rsid w:val="001E763D"/>
    <w:rsid w:val="001E7D42"/>
    <w:rsid w:val="001F0B25"/>
    <w:rsid w:val="001F1BE7"/>
    <w:rsid w:val="001F2FC4"/>
    <w:rsid w:val="001F3C7D"/>
    <w:rsid w:val="001F3CB4"/>
    <w:rsid w:val="001F68DE"/>
    <w:rsid w:val="001F753C"/>
    <w:rsid w:val="002028BF"/>
    <w:rsid w:val="00203C89"/>
    <w:rsid w:val="00204041"/>
    <w:rsid w:val="00204CFE"/>
    <w:rsid w:val="00204E13"/>
    <w:rsid w:val="00205644"/>
    <w:rsid w:val="00205CCE"/>
    <w:rsid w:val="00207A05"/>
    <w:rsid w:val="00210BE4"/>
    <w:rsid w:val="002111DD"/>
    <w:rsid w:val="002116BD"/>
    <w:rsid w:val="00212E96"/>
    <w:rsid w:val="002137A1"/>
    <w:rsid w:val="00214170"/>
    <w:rsid w:val="002150FE"/>
    <w:rsid w:val="00215FFC"/>
    <w:rsid w:val="00216A02"/>
    <w:rsid w:val="00216DD3"/>
    <w:rsid w:val="00217523"/>
    <w:rsid w:val="0021781D"/>
    <w:rsid w:val="00217B66"/>
    <w:rsid w:val="00217EA0"/>
    <w:rsid w:val="00220C8E"/>
    <w:rsid w:val="002211EC"/>
    <w:rsid w:val="00221262"/>
    <w:rsid w:val="00221D81"/>
    <w:rsid w:val="00224031"/>
    <w:rsid w:val="00224741"/>
    <w:rsid w:val="002248BD"/>
    <w:rsid w:val="00224CD2"/>
    <w:rsid w:val="002266F1"/>
    <w:rsid w:val="002267F1"/>
    <w:rsid w:val="00226B59"/>
    <w:rsid w:val="00230EF6"/>
    <w:rsid w:val="002311BD"/>
    <w:rsid w:val="002323D0"/>
    <w:rsid w:val="0023315D"/>
    <w:rsid w:val="00233524"/>
    <w:rsid w:val="00233736"/>
    <w:rsid w:val="00233956"/>
    <w:rsid w:val="002346CD"/>
    <w:rsid w:val="00236F35"/>
    <w:rsid w:val="00236F9D"/>
    <w:rsid w:val="002375B4"/>
    <w:rsid w:val="00240369"/>
    <w:rsid w:val="00240AEF"/>
    <w:rsid w:val="0024397D"/>
    <w:rsid w:val="00243BB2"/>
    <w:rsid w:val="0024409B"/>
    <w:rsid w:val="00244529"/>
    <w:rsid w:val="00244EDB"/>
    <w:rsid w:val="0024534C"/>
    <w:rsid w:val="00245AEC"/>
    <w:rsid w:val="00247E65"/>
    <w:rsid w:val="0025080C"/>
    <w:rsid w:val="0025207C"/>
    <w:rsid w:val="00254774"/>
    <w:rsid w:val="0025577D"/>
    <w:rsid w:val="00255CB4"/>
    <w:rsid w:val="0025607E"/>
    <w:rsid w:val="00256481"/>
    <w:rsid w:val="002564B0"/>
    <w:rsid w:val="00257643"/>
    <w:rsid w:val="00260080"/>
    <w:rsid w:val="00260770"/>
    <w:rsid w:val="00260E1E"/>
    <w:rsid w:val="00260F6E"/>
    <w:rsid w:val="00261EA3"/>
    <w:rsid w:val="00262D53"/>
    <w:rsid w:val="00263CA8"/>
    <w:rsid w:val="002643F3"/>
    <w:rsid w:val="0026448F"/>
    <w:rsid w:val="002660BC"/>
    <w:rsid w:val="00267042"/>
    <w:rsid w:val="00267FE2"/>
    <w:rsid w:val="0027020F"/>
    <w:rsid w:val="002707F7"/>
    <w:rsid w:val="00270B46"/>
    <w:rsid w:val="00270E66"/>
    <w:rsid w:val="002721FA"/>
    <w:rsid w:val="00272758"/>
    <w:rsid w:val="00272E1D"/>
    <w:rsid w:val="00275F5E"/>
    <w:rsid w:val="00276096"/>
    <w:rsid w:val="002764CB"/>
    <w:rsid w:val="0027673E"/>
    <w:rsid w:val="00277A52"/>
    <w:rsid w:val="00277D0B"/>
    <w:rsid w:val="0028052A"/>
    <w:rsid w:val="002805C4"/>
    <w:rsid w:val="00283CA8"/>
    <w:rsid w:val="002845D3"/>
    <w:rsid w:val="002847C0"/>
    <w:rsid w:val="00284AD9"/>
    <w:rsid w:val="00284E5C"/>
    <w:rsid w:val="00285752"/>
    <w:rsid w:val="0028792C"/>
    <w:rsid w:val="002879F1"/>
    <w:rsid w:val="002905D8"/>
    <w:rsid w:val="00290DB9"/>
    <w:rsid w:val="00291155"/>
    <w:rsid w:val="00291F7B"/>
    <w:rsid w:val="00292ECE"/>
    <w:rsid w:val="002940C6"/>
    <w:rsid w:val="00294B1B"/>
    <w:rsid w:val="00294CA9"/>
    <w:rsid w:val="00295998"/>
    <w:rsid w:val="002969C3"/>
    <w:rsid w:val="00297030"/>
    <w:rsid w:val="002A1320"/>
    <w:rsid w:val="002A19C0"/>
    <w:rsid w:val="002A2068"/>
    <w:rsid w:val="002A206F"/>
    <w:rsid w:val="002A2980"/>
    <w:rsid w:val="002A33F3"/>
    <w:rsid w:val="002A4896"/>
    <w:rsid w:val="002A49B8"/>
    <w:rsid w:val="002A4D9A"/>
    <w:rsid w:val="002A4E8C"/>
    <w:rsid w:val="002A5179"/>
    <w:rsid w:val="002A57D8"/>
    <w:rsid w:val="002A5D07"/>
    <w:rsid w:val="002A7146"/>
    <w:rsid w:val="002B260A"/>
    <w:rsid w:val="002B57CF"/>
    <w:rsid w:val="002B67A3"/>
    <w:rsid w:val="002C12CE"/>
    <w:rsid w:val="002C155C"/>
    <w:rsid w:val="002C2FAB"/>
    <w:rsid w:val="002C3395"/>
    <w:rsid w:val="002C4269"/>
    <w:rsid w:val="002C451D"/>
    <w:rsid w:val="002C547E"/>
    <w:rsid w:val="002C55DF"/>
    <w:rsid w:val="002C5F73"/>
    <w:rsid w:val="002C7DA5"/>
    <w:rsid w:val="002D3381"/>
    <w:rsid w:val="002D34A9"/>
    <w:rsid w:val="002D45E4"/>
    <w:rsid w:val="002D478C"/>
    <w:rsid w:val="002D5755"/>
    <w:rsid w:val="002D6121"/>
    <w:rsid w:val="002D71DF"/>
    <w:rsid w:val="002D72DF"/>
    <w:rsid w:val="002E04EA"/>
    <w:rsid w:val="002E0765"/>
    <w:rsid w:val="002E2948"/>
    <w:rsid w:val="002E373E"/>
    <w:rsid w:val="002E5E11"/>
    <w:rsid w:val="002E7287"/>
    <w:rsid w:val="002F00E3"/>
    <w:rsid w:val="002F0A95"/>
    <w:rsid w:val="002F13AD"/>
    <w:rsid w:val="002F1FFB"/>
    <w:rsid w:val="002F24E1"/>
    <w:rsid w:val="002F2A9F"/>
    <w:rsid w:val="002F3E66"/>
    <w:rsid w:val="002F4183"/>
    <w:rsid w:val="002F475D"/>
    <w:rsid w:val="002F5272"/>
    <w:rsid w:val="002F664F"/>
    <w:rsid w:val="002F7A63"/>
    <w:rsid w:val="003003C0"/>
    <w:rsid w:val="0030068B"/>
    <w:rsid w:val="00300855"/>
    <w:rsid w:val="00302737"/>
    <w:rsid w:val="00302A61"/>
    <w:rsid w:val="003045D1"/>
    <w:rsid w:val="003045F6"/>
    <w:rsid w:val="00304D73"/>
    <w:rsid w:val="00305182"/>
    <w:rsid w:val="003056D6"/>
    <w:rsid w:val="0030598B"/>
    <w:rsid w:val="0030672D"/>
    <w:rsid w:val="00306E0A"/>
    <w:rsid w:val="00306F39"/>
    <w:rsid w:val="00307CCF"/>
    <w:rsid w:val="00311270"/>
    <w:rsid w:val="003113E0"/>
    <w:rsid w:val="003118D7"/>
    <w:rsid w:val="00312833"/>
    <w:rsid w:val="00312C1B"/>
    <w:rsid w:val="003138AA"/>
    <w:rsid w:val="00313917"/>
    <w:rsid w:val="00314B0B"/>
    <w:rsid w:val="003156F5"/>
    <w:rsid w:val="00316098"/>
    <w:rsid w:val="00316631"/>
    <w:rsid w:val="00316EE5"/>
    <w:rsid w:val="00320E49"/>
    <w:rsid w:val="003214A9"/>
    <w:rsid w:val="00321A46"/>
    <w:rsid w:val="00322F17"/>
    <w:rsid w:val="0032477D"/>
    <w:rsid w:val="003257E9"/>
    <w:rsid w:val="003262D2"/>
    <w:rsid w:val="00327329"/>
    <w:rsid w:val="00327477"/>
    <w:rsid w:val="00327499"/>
    <w:rsid w:val="00327DDD"/>
    <w:rsid w:val="0033058A"/>
    <w:rsid w:val="0033064E"/>
    <w:rsid w:val="00330AC7"/>
    <w:rsid w:val="003316A0"/>
    <w:rsid w:val="0033187D"/>
    <w:rsid w:val="0033195A"/>
    <w:rsid w:val="00332A82"/>
    <w:rsid w:val="00334122"/>
    <w:rsid w:val="00334913"/>
    <w:rsid w:val="003350EA"/>
    <w:rsid w:val="00335120"/>
    <w:rsid w:val="003371DB"/>
    <w:rsid w:val="00337C8A"/>
    <w:rsid w:val="003404B4"/>
    <w:rsid w:val="0034130D"/>
    <w:rsid w:val="0034133C"/>
    <w:rsid w:val="003416A3"/>
    <w:rsid w:val="00341BA7"/>
    <w:rsid w:val="00342143"/>
    <w:rsid w:val="00342F57"/>
    <w:rsid w:val="00343DFD"/>
    <w:rsid w:val="0034477A"/>
    <w:rsid w:val="00344D4F"/>
    <w:rsid w:val="0034596B"/>
    <w:rsid w:val="00346C40"/>
    <w:rsid w:val="00347C60"/>
    <w:rsid w:val="00350450"/>
    <w:rsid w:val="003504FE"/>
    <w:rsid w:val="00350A6A"/>
    <w:rsid w:val="003518E2"/>
    <w:rsid w:val="00351DF3"/>
    <w:rsid w:val="003521B8"/>
    <w:rsid w:val="00352316"/>
    <w:rsid w:val="00352E8A"/>
    <w:rsid w:val="0035324B"/>
    <w:rsid w:val="003543C9"/>
    <w:rsid w:val="00354514"/>
    <w:rsid w:val="003550DA"/>
    <w:rsid w:val="003558E7"/>
    <w:rsid w:val="00355E11"/>
    <w:rsid w:val="00357C5C"/>
    <w:rsid w:val="00361CC3"/>
    <w:rsid w:val="00362941"/>
    <w:rsid w:val="00362ACB"/>
    <w:rsid w:val="00362BC6"/>
    <w:rsid w:val="00362BEC"/>
    <w:rsid w:val="003636A4"/>
    <w:rsid w:val="00365CE8"/>
    <w:rsid w:val="00367870"/>
    <w:rsid w:val="00370741"/>
    <w:rsid w:val="0037146A"/>
    <w:rsid w:val="0037176A"/>
    <w:rsid w:val="00371907"/>
    <w:rsid w:val="00375479"/>
    <w:rsid w:val="0037664B"/>
    <w:rsid w:val="0037754F"/>
    <w:rsid w:val="00377ACE"/>
    <w:rsid w:val="00380C4B"/>
    <w:rsid w:val="003814EF"/>
    <w:rsid w:val="00382896"/>
    <w:rsid w:val="00383267"/>
    <w:rsid w:val="003837F6"/>
    <w:rsid w:val="00383DA8"/>
    <w:rsid w:val="00384469"/>
    <w:rsid w:val="0038596A"/>
    <w:rsid w:val="003916D4"/>
    <w:rsid w:val="003923B5"/>
    <w:rsid w:val="00392557"/>
    <w:rsid w:val="00392D92"/>
    <w:rsid w:val="00393270"/>
    <w:rsid w:val="0039344B"/>
    <w:rsid w:val="00393D1A"/>
    <w:rsid w:val="00394D6A"/>
    <w:rsid w:val="00394F4A"/>
    <w:rsid w:val="003958CF"/>
    <w:rsid w:val="00396613"/>
    <w:rsid w:val="00396711"/>
    <w:rsid w:val="003A05A0"/>
    <w:rsid w:val="003A05C5"/>
    <w:rsid w:val="003A0B07"/>
    <w:rsid w:val="003A13CA"/>
    <w:rsid w:val="003A17FF"/>
    <w:rsid w:val="003A1AEA"/>
    <w:rsid w:val="003A1F5A"/>
    <w:rsid w:val="003A231A"/>
    <w:rsid w:val="003A29AD"/>
    <w:rsid w:val="003A2CC8"/>
    <w:rsid w:val="003A3022"/>
    <w:rsid w:val="003A3587"/>
    <w:rsid w:val="003A35A7"/>
    <w:rsid w:val="003A3BED"/>
    <w:rsid w:val="003A3DFE"/>
    <w:rsid w:val="003A415B"/>
    <w:rsid w:val="003A4A22"/>
    <w:rsid w:val="003A4B51"/>
    <w:rsid w:val="003A5721"/>
    <w:rsid w:val="003A5AF1"/>
    <w:rsid w:val="003A5B2A"/>
    <w:rsid w:val="003A683D"/>
    <w:rsid w:val="003B2C69"/>
    <w:rsid w:val="003B2D3A"/>
    <w:rsid w:val="003B441D"/>
    <w:rsid w:val="003B47FF"/>
    <w:rsid w:val="003B5B43"/>
    <w:rsid w:val="003B60D4"/>
    <w:rsid w:val="003B66A4"/>
    <w:rsid w:val="003B7C61"/>
    <w:rsid w:val="003C0A70"/>
    <w:rsid w:val="003C0F81"/>
    <w:rsid w:val="003C0FDC"/>
    <w:rsid w:val="003C1628"/>
    <w:rsid w:val="003C2B1B"/>
    <w:rsid w:val="003C43EF"/>
    <w:rsid w:val="003C4495"/>
    <w:rsid w:val="003C464D"/>
    <w:rsid w:val="003C4B53"/>
    <w:rsid w:val="003C4FF3"/>
    <w:rsid w:val="003D0406"/>
    <w:rsid w:val="003D20C4"/>
    <w:rsid w:val="003D2E4C"/>
    <w:rsid w:val="003D3487"/>
    <w:rsid w:val="003D34A0"/>
    <w:rsid w:val="003D4133"/>
    <w:rsid w:val="003D4D5B"/>
    <w:rsid w:val="003D4F68"/>
    <w:rsid w:val="003D68A3"/>
    <w:rsid w:val="003D72A1"/>
    <w:rsid w:val="003D76CD"/>
    <w:rsid w:val="003D7A9E"/>
    <w:rsid w:val="003E0F35"/>
    <w:rsid w:val="003E14A9"/>
    <w:rsid w:val="003E1C0A"/>
    <w:rsid w:val="003E22CB"/>
    <w:rsid w:val="003E258F"/>
    <w:rsid w:val="003E3AF4"/>
    <w:rsid w:val="003E3D8A"/>
    <w:rsid w:val="003E3F93"/>
    <w:rsid w:val="003E432A"/>
    <w:rsid w:val="003E44AF"/>
    <w:rsid w:val="003E4568"/>
    <w:rsid w:val="003E54B7"/>
    <w:rsid w:val="003E5FA0"/>
    <w:rsid w:val="003E60F8"/>
    <w:rsid w:val="003E740C"/>
    <w:rsid w:val="003F0F13"/>
    <w:rsid w:val="003F215B"/>
    <w:rsid w:val="003F40BA"/>
    <w:rsid w:val="003F5F7A"/>
    <w:rsid w:val="003F60B5"/>
    <w:rsid w:val="003F6FC9"/>
    <w:rsid w:val="004000E2"/>
    <w:rsid w:val="00400274"/>
    <w:rsid w:val="00400B9A"/>
    <w:rsid w:val="004027AD"/>
    <w:rsid w:val="00403758"/>
    <w:rsid w:val="00403D51"/>
    <w:rsid w:val="00404530"/>
    <w:rsid w:val="00404C37"/>
    <w:rsid w:val="004058BD"/>
    <w:rsid w:val="0040597B"/>
    <w:rsid w:val="0040778D"/>
    <w:rsid w:val="00410A65"/>
    <w:rsid w:val="00413518"/>
    <w:rsid w:val="0041369A"/>
    <w:rsid w:val="0041480C"/>
    <w:rsid w:val="00415254"/>
    <w:rsid w:val="0041625C"/>
    <w:rsid w:val="00416FB6"/>
    <w:rsid w:val="00417339"/>
    <w:rsid w:val="0041739E"/>
    <w:rsid w:val="0041783B"/>
    <w:rsid w:val="004223A6"/>
    <w:rsid w:val="0042286B"/>
    <w:rsid w:val="00424A45"/>
    <w:rsid w:val="004259F8"/>
    <w:rsid w:val="00427BEE"/>
    <w:rsid w:val="0043271A"/>
    <w:rsid w:val="00432796"/>
    <w:rsid w:val="00432EB4"/>
    <w:rsid w:val="00432F29"/>
    <w:rsid w:val="00434057"/>
    <w:rsid w:val="004349D6"/>
    <w:rsid w:val="00435096"/>
    <w:rsid w:val="00435179"/>
    <w:rsid w:val="00435A3B"/>
    <w:rsid w:val="00437EC9"/>
    <w:rsid w:val="0044241B"/>
    <w:rsid w:val="00442439"/>
    <w:rsid w:val="0044261D"/>
    <w:rsid w:val="00443A29"/>
    <w:rsid w:val="00443EE4"/>
    <w:rsid w:val="00444190"/>
    <w:rsid w:val="00444616"/>
    <w:rsid w:val="0044477A"/>
    <w:rsid w:val="004448CA"/>
    <w:rsid w:val="004468BC"/>
    <w:rsid w:val="00447517"/>
    <w:rsid w:val="00450760"/>
    <w:rsid w:val="00450FE7"/>
    <w:rsid w:val="00451AA9"/>
    <w:rsid w:val="00451C8B"/>
    <w:rsid w:val="00452EC7"/>
    <w:rsid w:val="00453175"/>
    <w:rsid w:val="00453780"/>
    <w:rsid w:val="0045398A"/>
    <w:rsid w:val="00453AC7"/>
    <w:rsid w:val="00455495"/>
    <w:rsid w:val="00455FD2"/>
    <w:rsid w:val="0045736A"/>
    <w:rsid w:val="00460DF1"/>
    <w:rsid w:val="00461BB7"/>
    <w:rsid w:val="00463CA5"/>
    <w:rsid w:val="00464469"/>
    <w:rsid w:val="00465117"/>
    <w:rsid w:val="0046519F"/>
    <w:rsid w:val="00465236"/>
    <w:rsid w:val="004657FC"/>
    <w:rsid w:val="004665B7"/>
    <w:rsid w:val="0046678C"/>
    <w:rsid w:val="0046760B"/>
    <w:rsid w:val="004702B9"/>
    <w:rsid w:val="00470BB5"/>
    <w:rsid w:val="004718FE"/>
    <w:rsid w:val="00471F93"/>
    <w:rsid w:val="00472F5C"/>
    <w:rsid w:val="00473A67"/>
    <w:rsid w:val="00474956"/>
    <w:rsid w:val="00474B58"/>
    <w:rsid w:val="00474C83"/>
    <w:rsid w:val="00476421"/>
    <w:rsid w:val="00480DA8"/>
    <w:rsid w:val="004829FE"/>
    <w:rsid w:val="00483130"/>
    <w:rsid w:val="00483625"/>
    <w:rsid w:val="004845FB"/>
    <w:rsid w:val="004854F8"/>
    <w:rsid w:val="0048572B"/>
    <w:rsid w:val="004871B3"/>
    <w:rsid w:val="00487807"/>
    <w:rsid w:val="00487944"/>
    <w:rsid w:val="00490153"/>
    <w:rsid w:val="00491266"/>
    <w:rsid w:val="004914A6"/>
    <w:rsid w:val="00491EC7"/>
    <w:rsid w:val="00492522"/>
    <w:rsid w:val="00492CAF"/>
    <w:rsid w:val="00494561"/>
    <w:rsid w:val="00495006"/>
    <w:rsid w:val="00495A25"/>
    <w:rsid w:val="00495D87"/>
    <w:rsid w:val="00495F6A"/>
    <w:rsid w:val="004963D7"/>
    <w:rsid w:val="00496E0E"/>
    <w:rsid w:val="004978B8"/>
    <w:rsid w:val="004A07BF"/>
    <w:rsid w:val="004A1723"/>
    <w:rsid w:val="004A1D57"/>
    <w:rsid w:val="004A1FA4"/>
    <w:rsid w:val="004A2462"/>
    <w:rsid w:val="004A2A46"/>
    <w:rsid w:val="004A5050"/>
    <w:rsid w:val="004A51EB"/>
    <w:rsid w:val="004A61B9"/>
    <w:rsid w:val="004A6DB8"/>
    <w:rsid w:val="004A7384"/>
    <w:rsid w:val="004A7843"/>
    <w:rsid w:val="004A7D24"/>
    <w:rsid w:val="004A7DCF"/>
    <w:rsid w:val="004B0C5D"/>
    <w:rsid w:val="004B1084"/>
    <w:rsid w:val="004B23A5"/>
    <w:rsid w:val="004B247B"/>
    <w:rsid w:val="004B35BC"/>
    <w:rsid w:val="004B3E8D"/>
    <w:rsid w:val="004B3FD6"/>
    <w:rsid w:val="004B50AE"/>
    <w:rsid w:val="004B5691"/>
    <w:rsid w:val="004B757F"/>
    <w:rsid w:val="004C0183"/>
    <w:rsid w:val="004C0761"/>
    <w:rsid w:val="004C125A"/>
    <w:rsid w:val="004C1830"/>
    <w:rsid w:val="004C23A2"/>
    <w:rsid w:val="004C2625"/>
    <w:rsid w:val="004C280F"/>
    <w:rsid w:val="004C3628"/>
    <w:rsid w:val="004C468D"/>
    <w:rsid w:val="004C554B"/>
    <w:rsid w:val="004C5CFA"/>
    <w:rsid w:val="004C753E"/>
    <w:rsid w:val="004C7780"/>
    <w:rsid w:val="004C7E89"/>
    <w:rsid w:val="004D06F3"/>
    <w:rsid w:val="004D17F4"/>
    <w:rsid w:val="004D3AE0"/>
    <w:rsid w:val="004D5110"/>
    <w:rsid w:val="004D52DA"/>
    <w:rsid w:val="004D69FB"/>
    <w:rsid w:val="004E06E9"/>
    <w:rsid w:val="004E0FAB"/>
    <w:rsid w:val="004E2908"/>
    <w:rsid w:val="004E2C11"/>
    <w:rsid w:val="004E2E25"/>
    <w:rsid w:val="004E5ADD"/>
    <w:rsid w:val="004E78FE"/>
    <w:rsid w:val="004E7D05"/>
    <w:rsid w:val="004F07E5"/>
    <w:rsid w:val="004F0D4F"/>
    <w:rsid w:val="004F0F57"/>
    <w:rsid w:val="004F2470"/>
    <w:rsid w:val="004F2C10"/>
    <w:rsid w:val="004F2D29"/>
    <w:rsid w:val="004F38B8"/>
    <w:rsid w:val="004F3C75"/>
    <w:rsid w:val="004F5BD1"/>
    <w:rsid w:val="004F5EFD"/>
    <w:rsid w:val="004F680F"/>
    <w:rsid w:val="004F7A38"/>
    <w:rsid w:val="0050137C"/>
    <w:rsid w:val="00502117"/>
    <w:rsid w:val="005038F5"/>
    <w:rsid w:val="00503E6D"/>
    <w:rsid w:val="00503EE0"/>
    <w:rsid w:val="00504EE0"/>
    <w:rsid w:val="0050535B"/>
    <w:rsid w:val="00505EB1"/>
    <w:rsid w:val="00506046"/>
    <w:rsid w:val="005061E3"/>
    <w:rsid w:val="005074B6"/>
    <w:rsid w:val="00510478"/>
    <w:rsid w:val="005104BB"/>
    <w:rsid w:val="00511841"/>
    <w:rsid w:val="00511A6D"/>
    <w:rsid w:val="00512153"/>
    <w:rsid w:val="00514468"/>
    <w:rsid w:val="00514DDE"/>
    <w:rsid w:val="00515ECB"/>
    <w:rsid w:val="00520331"/>
    <w:rsid w:val="00521B6A"/>
    <w:rsid w:val="0052234D"/>
    <w:rsid w:val="00522EE4"/>
    <w:rsid w:val="005231CD"/>
    <w:rsid w:val="00523217"/>
    <w:rsid w:val="00524632"/>
    <w:rsid w:val="0052542B"/>
    <w:rsid w:val="00525B92"/>
    <w:rsid w:val="00526159"/>
    <w:rsid w:val="005268B9"/>
    <w:rsid w:val="00526D6D"/>
    <w:rsid w:val="00527000"/>
    <w:rsid w:val="00527D19"/>
    <w:rsid w:val="00530312"/>
    <w:rsid w:val="00530783"/>
    <w:rsid w:val="00531B6D"/>
    <w:rsid w:val="005341A3"/>
    <w:rsid w:val="00534D2C"/>
    <w:rsid w:val="00534D81"/>
    <w:rsid w:val="00536B89"/>
    <w:rsid w:val="00536CE1"/>
    <w:rsid w:val="00537533"/>
    <w:rsid w:val="005401AF"/>
    <w:rsid w:val="00540486"/>
    <w:rsid w:val="00540586"/>
    <w:rsid w:val="005417CD"/>
    <w:rsid w:val="00541E39"/>
    <w:rsid w:val="00542D7E"/>
    <w:rsid w:val="00543389"/>
    <w:rsid w:val="005438C6"/>
    <w:rsid w:val="00543C52"/>
    <w:rsid w:val="0054621E"/>
    <w:rsid w:val="00551421"/>
    <w:rsid w:val="00552A9C"/>
    <w:rsid w:val="005535E3"/>
    <w:rsid w:val="00554930"/>
    <w:rsid w:val="00554CC3"/>
    <w:rsid w:val="005552B5"/>
    <w:rsid w:val="00556658"/>
    <w:rsid w:val="00556A53"/>
    <w:rsid w:val="0055774F"/>
    <w:rsid w:val="005578DD"/>
    <w:rsid w:val="00557BF4"/>
    <w:rsid w:val="005607C4"/>
    <w:rsid w:val="00560DD5"/>
    <w:rsid w:val="00562454"/>
    <w:rsid w:val="0056434A"/>
    <w:rsid w:val="005658E2"/>
    <w:rsid w:val="005660B4"/>
    <w:rsid w:val="0056695E"/>
    <w:rsid w:val="00566C96"/>
    <w:rsid w:val="00567818"/>
    <w:rsid w:val="00570790"/>
    <w:rsid w:val="00571641"/>
    <w:rsid w:val="005720BF"/>
    <w:rsid w:val="00572D29"/>
    <w:rsid w:val="00572D3B"/>
    <w:rsid w:val="00572D8A"/>
    <w:rsid w:val="00572E71"/>
    <w:rsid w:val="00573278"/>
    <w:rsid w:val="005736E3"/>
    <w:rsid w:val="00575829"/>
    <w:rsid w:val="00575E1B"/>
    <w:rsid w:val="00576C00"/>
    <w:rsid w:val="00580275"/>
    <w:rsid w:val="005803CD"/>
    <w:rsid w:val="00580B63"/>
    <w:rsid w:val="005816FC"/>
    <w:rsid w:val="00581869"/>
    <w:rsid w:val="005838F8"/>
    <w:rsid w:val="00583B84"/>
    <w:rsid w:val="00583D2D"/>
    <w:rsid w:val="0058430F"/>
    <w:rsid w:val="00584916"/>
    <w:rsid w:val="00584C2C"/>
    <w:rsid w:val="00584FE1"/>
    <w:rsid w:val="005856C6"/>
    <w:rsid w:val="005861B6"/>
    <w:rsid w:val="00586608"/>
    <w:rsid w:val="00587626"/>
    <w:rsid w:val="00587CD5"/>
    <w:rsid w:val="00590360"/>
    <w:rsid w:val="00591721"/>
    <w:rsid w:val="00592064"/>
    <w:rsid w:val="00593262"/>
    <w:rsid w:val="0059365D"/>
    <w:rsid w:val="005943CB"/>
    <w:rsid w:val="00594456"/>
    <w:rsid w:val="00594CB1"/>
    <w:rsid w:val="00594D9A"/>
    <w:rsid w:val="00595261"/>
    <w:rsid w:val="005967C6"/>
    <w:rsid w:val="00596C14"/>
    <w:rsid w:val="005A031D"/>
    <w:rsid w:val="005A06D4"/>
    <w:rsid w:val="005A0EB6"/>
    <w:rsid w:val="005A0EE0"/>
    <w:rsid w:val="005A160A"/>
    <w:rsid w:val="005A1836"/>
    <w:rsid w:val="005A185B"/>
    <w:rsid w:val="005A2798"/>
    <w:rsid w:val="005A3617"/>
    <w:rsid w:val="005A384F"/>
    <w:rsid w:val="005A56A4"/>
    <w:rsid w:val="005A6341"/>
    <w:rsid w:val="005A6511"/>
    <w:rsid w:val="005A69FA"/>
    <w:rsid w:val="005A6EB7"/>
    <w:rsid w:val="005A7196"/>
    <w:rsid w:val="005A7B5B"/>
    <w:rsid w:val="005B0DB3"/>
    <w:rsid w:val="005B1537"/>
    <w:rsid w:val="005B3518"/>
    <w:rsid w:val="005B41CA"/>
    <w:rsid w:val="005B71FB"/>
    <w:rsid w:val="005B7D49"/>
    <w:rsid w:val="005C1A32"/>
    <w:rsid w:val="005C1B2E"/>
    <w:rsid w:val="005C2650"/>
    <w:rsid w:val="005C2DDC"/>
    <w:rsid w:val="005C52A4"/>
    <w:rsid w:val="005C669F"/>
    <w:rsid w:val="005C6D04"/>
    <w:rsid w:val="005C7953"/>
    <w:rsid w:val="005D0D3F"/>
    <w:rsid w:val="005D0FEB"/>
    <w:rsid w:val="005D112C"/>
    <w:rsid w:val="005D1834"/>
    <w:rsid w:val="005D259B"/>
    <w:rsid w:val="005D28B7"/>
    <w:rsid w:val="005D52FB"/>
    <w:rsid w:val="005D53B6"/>
    <w:rsid w:val="005D6411"/>
    <w:rsid w:val="005D6D7E"/>
    <w:rsid w:val="005D725E"/>
    <w:rsid w:val="005E1EE9"/>
    <w:rsid w:val="005E2645"/>
    <w:rsid w:val="005E3318"/>
    <w:rsid w:val="005E4A61"/>
    <w:rsid w:val="005E53B1"/>
    <w:rsid w:val="005E5820"/>
    <w:rsid w:val="005E624A"/>
    <w:rsid w:val="005E6622"/>
    <w:rsid w:val="005E737E"/>
    <w:rsid w:val="005E7F95"/>
    <w:rsid w:val="005F1099"/>
    <w:rsid w:val="005F13D3"/>
    <w:rsid w:val="005F1DA2"/>
    <w:rsid w:val="005F2908"/>
    <w:rsid w:val="005F324E"/>
    <w:rsid w:val="005F416C"/>
    <w:rsid w:val="005F4B6C"/>
    <w:rsid w:val="005F4E97"/>
    <w:rsid w:val="005F549F"/>
    <w:rsid w:val="005F6C30"/>
    <w:rsid w:val="005F6F31"/>
    <w:rsid w:val="005F7073"/>
    <w:rsid w:val="005F72BF"/>
    <w:rsid w:val="005F7D60"/>
    <w:rsid w:val="00600D15"/>
    <w:rsid w:val="0060158B"/>
    <w:rsid w:val="00601936"/>
    <w:rsid w:val="00601C4F"/>
    <w:rsid w:val="00601E1D"/>
    <w:rsid w:val="0060228B"/>
    <w:rsid w:val="0060236A"/>
    <w:rsid w:val="00603561"/>
    <w:rsid w:val="00604858"/>
    <w:rsid w:val="006050EE"/>
    <w:rsid w:val="006051A3"/>
    <w:rsid w:val="006053DE"/>
    <w:rsid w:val="00605533"/>
    <w:rsid w:val="00605D9E"/>
    <w:rsid w:val="0060618D"/>
    <w:rsid w:val="00611099"/>
    <w:rsid w:val="00612499"/>
    <w:rsid w:val="0061254A"/>
    <w:rsid w:val="00612D8D"/>
    <w:rsid w:val="00614694"/>
    <w:rsid w:val="00614724"/>
    <w:rsid w:val="0061511E"/>
    <w:rsid w:val="0061554A"/>
    <w:rsid w:val="00615EB2"/>
    <w:rsid w:val="00616684"/>
    <w:rsid w:val="0061704B"/>
    <w:rsid w:val="00617974"/>
    <w:rsid w:val="006206BB"/>
    <w:rsid w:val="00621192"/>
    <w:rsid w:val="006211BC"/>
    <w:rsid w:val="00621F61"/>
    <w:rsid w:val="00621FB7"/>
    <w:rsid w:val="006222B0"/>
    <w:rsid w:val="00622F8D"/>
    <w:rsid w:val="00623579"/>
    <w:rsid w:val="00624399"/>
    <w:rsid w:val="00624D12"/>
    <w:rsid w:val="006250FB"/>
    <w:rsid w:val="00626214"/>
    <w:rsid w:val="00626273"/>
    <w:rsid w:val="00626D6A"/>
    <w:rsid w:val="00626E96"/>
    <w:rsid w:val="006274A4"/>
    <w:rsid w:val="006278C0"/>
    <w:rsid w:val="00630290"/>
    <w:rsid w:val="00631481"/>
    <w:rsid w:val="00631E30"/>
    <w:rsid w:val="00632E3D"/>
    <w:rsid w:val="00633253"/>
    <w:rsid w:val="006343B2"/>
    <w:rsid w:val="00634663"/>
    <w:rsid w:val="00634978"/>
    <w:rsid w:val="00634F83"/>
    <w:rsid w:val="00635656"/>
    <w:rsid w:val="00635C86"/>
    <w:rsid w:val="00637636"/>
    <w:rsid w:val="00637A2D"/>
    <w:rsid w:val="00640D75"/>
    <w:rsid w:val="00641878"/>
    <w:rsid w:val="00644A8B"/>
    <w:rsid w:val="00645C20"/>
    <w:rsid w:val="00647A68"/>
    <w:rsid w:val="00647D86"/>
    <w:rsid w:val="00652006"/>
    <w:rsid w:val="0065246C"/>
    <w:rsid w:val="00654D27"/>
    <w:rsid w:val="00654F15"/>
    <w:rsid w:val="0065549B"/>
    <w:rsid w:val="00662459"/>
    <w:rsid w:val="006637A3"/>
    <w:rsid w:val="006651FC"/>
    <w:rsid w:val="00665241"/>
    <w:rsid w:val="00665277"/>
    <w:rsid w:val="006655A4"/>
    <w:rsid w:val="0066565D"/>
    <w:rsid w:val="0066591D"/>
    <w:rsid w:val="006664DF"/>
    <w:rsid w:val="00667667"/>
    <w:rsid w:val="00667719"/>
    <w:rsid w:val="00671C60"/>
    <w:rsid w:val="00672625"/>
    <w:rsid w:val="00672E7A"/>
    <w:rsid w:val="006736ED"/>
    <w:rsid w:val="00673CDD"/>
    <w:rsid w:val="00673DC6"/>
    <w:rsid w:val="00674568"/>
    <w:rsid w:val="00674C23"/>
    <w:rsid w:val="00674FE7"/>
    <w:rsid w:val="00675241"/>
    <w:rsid w:val="00676FF0"/>
    <w:rsid w:val="00677C85"/>
    <w:rsid w:val="00680748"/>
    <w:rsid w:val="00680AF7"/>
    <w:rsid w:val="006817C2"/>
    <w:rsid w:val="00681CD4"/>
    <w:rsid w:val="0068211C"/>
    <w:rsid w:val="0068250F"/>
    <w:rsid w:val="006827E4"/>
    <w:rsid w:val="00684BBD"/>
    <w:rsid w:val="006851AB"/>
    <w:rsid w:val="006867F9"/>
    <w:rsid w:val="00686948"/>
    <w:rsid w:val="00690452"/>
    <w:rsid w:val="00691CC4"/>
    <w:rsid w:val="0069273F"/>
    <w:rsid w:val="00693BED"/>
    <w:rsid w:val="006942F4"/>
    <w:rsid w:val="006950B9"/>
    <w:rsid w:val="00695779"/>
    <w:rsid w:val="00695965"/>
    <w:rsid w:val="006960B5"/>
    <w:rsid w:val="00696F1E"/>
    <w:rsid w:val="0069790B"/>
    <w:rsid w:val="006A1B9F"/>
    <w:rsid w:val="006A1FCD"/>
    <w:rsid w:val="006A3251"/>
    <w:rsid w:val="006A3E2C"/>
    <w:rsid w:val="006A3F90"/>
    <w:rsid w:val="006A5CF6"/>
    <w:rsid w:val="006A7B8B"/>
    <w:rsid w:val="006B04CE"/>
    <w:rsid w:val="006B11BE"/>
    <w:rsid w:val="006B17E1"/>
    <w:rsid w:val="006B241D"/>
    <w:rsid w:val="006B3540"/>
    <w:rsid w:val="006B4C68"/>
    <w:rsid w:val="006B4F1A"/>
    <w:rsid w:val="006B53E2"/>
    <w:rsid w:val="006B5478"/>
    <w:rsid w:val="006B57DD"/>
    <w:rsid w:val="006C0080"/>
    <w:rsid w:val="006C06FE"/>
    <w:rsid w:val="006C098C"/>
    <w:rsid w:val="006C1381"/>
    <w:rsid w:val="006C1C1B"/>
    <w:rsid w:val="006C1DD6"/>
    <w:rsid w:val="006C21D4"/>
    <w:rsid w:val="006C339E"/>
    <w:rsid w:val="006C346C"/>
    <w:rsid w:val="006C3518"/>
    <w:rsid w:val="006C3FD7"/>
    <w:rsid w:val="006C44E9"/>
    <w:rsid w:val="006C450A"/>
    <w:rsid w:val="006C4C77"/>
    <w:rsid w:val="006C7539"/>
    <w:rsid w:val="006C7D23"/>
    <w:rsid w:val="006D1BF1"/>
    <w:rsid w:val="006D2513"/>
    <w:rsid w:val="006D34BA"/>
    <w:rsid w:val="006D3F29"/>
    <w:rsid w:val="006D3FDB"/>
    <w:rsid w:val="006D4845"/>
    <w:rsid w:val="006D658C"/>
    <w:rsid w:val="006D77EE"/>
    <w:rsid w:val="006E0491"/>
    <w:rsid w:val="006E0BAE"/>
    <w:rsid w:val="006E25C5"/>
    <w:rsid w:val="006E282A"/>
    <w:rsid w:val="006E3482"/>
    <w:rsid w:val="006E492F"/>
    <w:rsid w:val="006E4DEC"/>
    <w:rsid w:val="006E59A3"/>
    <w:rsid w:val="006E59B8"/>
    <w:rsid w:val="006E5D40"/>
    <w:rsid w:val="006E5F96"/>
    <w:rsid w:val="006E61CE"/>
    <w:rsid w:val="006E6627"/>
    <w:rsid w:val="006E67EA"/>
    <w:rsid w:val="006F065A"/>
    <w:rsid w:val="006F0A51"/>
    <w:rsid w:val="006F183C"/>
    <w:rsid w:val="006F1FDC"/>
    <w:rsid w:val="006F2050"/>
    <w:rsid w:val="006F255E"/>
    <w:rsid w:val="006F3543"/>
    <w:rsid w:val="006F354E"/>
    <w:rsid w:val="006F380D"/>
    <w:rsid w:val="006F3D64"/>
    <w:rsid w:val="006F48F8"/>
    <w:rsid w:val="006F4968"/>
    <w:rsid w:val="006F5D4E"/>
    <w:rsid w:val="006F647A"/>
    <w:rsid w:val="006F746C"/>
    <w:rsid w:val="006F7A4C"/>
    <w:rsid w:val="00700561"/>
    <w:rsid w:val="00700B1B"/>
    <w:rsid w:val="00700BA1"/>
    <w:rsid w:val="00702AC5"/>
    <w:rsid w:val="00703235"/>
    <w:rsid w:val="007045E2"/>
    <w:rsid w:val="00704607"/>
    <w:rsid w:val="0070462F"/>
    <w:rsid w:val="00704FE4"/>
    <w:rsid w:val="00705DFE"/>
    <w:rsid w:val="00710B02"/>
    <w:rsid w:val="007117C0"/>
    <w:rsid w:val="00713DB8"/>
    <w:rsid w:val="00715B36"/>
    <w:rsid w:val="00715FD9"/>
    <w:rsid w:val="007164AA"/>
    <w:rsid w:val="007172F1"/>
    <w:rsid w:val="00720386"/>
    <w:rsid w:val="00720AF1"/>
    <w:rsid w:val="00720EDD"/>
    <w:rsid w:val="0072118D"/>
    <w:rsid w:val="00721618"/>
    <w:rsid w:val="00721913"/>
    <w:rsid w:val="00721B86"/>
    <w:rsid w:val="00721F36"/>
    <w:rsid w:val="00722326"/>
    <w:rsid w:val="00722B5D"/>
    <w:rsid w:val="0072452E"/>
    <w:rsid w:val="00725EA1"/>
    <w:rsid w:val="00726916"/>
    <w:rsid w:val="00726A4A"/>
    <w:rsid w:val="0072704E"/>
    <w:rsid w:val="007333B9"/>
    <w:rsid w:val="0073427D"/>
    <w:rsid w:val="0073540A"/>
    <w:rsid w:val="00736BFB"/>
    <w:rsid w:val="007412C3"/>
    <w:rsid w:val="0074344B"/>
    <w:rsid w:val="00743CA8"/>
    <w:rsid w:val="007444F7"/>
    <w:rsid w:val="007459B8"/>
    <w:rsid w:val="00745E9A"/>
    <w:rsid w:val="00746C78"/>
    <w:rsid w:val="0075079F"/>
    <w:rsid w:val="00750EA1"/>
    <w:rsid w:val="00752484"/>
    <w:rsid w:val="007575E9"/>
    <w:rsid w:val="007577DC"/>
    <w:rsid w:val="0076214F"/>
    <w:rsid w:val="00764377"/>
    <w:rsid w:val="007649B9"/>
    <w:rsid w:val="00765FC2"/>
    <w:rsid w:val="00770B75"/>
    <w:rsid w:val="007714FF"/>
    <w:rsid w:val="00771668"/>
    <w:rsid w:val="007724C7"/>
    <w:rsid w:val="00772BE1"/>
    <w:rsid w:val="007730F1"/>
    <w:rsid w:val="007737B6"/>
    <w:rsid w:val="00774612"/>
    <w:rsid w:val="00774AF0"/>
    <w:rsid w:val="00774F22"/>
    <w:rsid w:val="00782307"/>
    <w:rsid w:val="00782C5C"/>
    <w:rsid w:val="00782F74"/>
    <w:rsid w:val="00783551"/>
    <w:rsid w:val="0078387B"/>
    <w:rsid w:val="00784F23"/>
    <w:rsid w:val="007851FC"/>
    <w:rsid w:val="007855EA"/>
    <w:rsid w:val="0078560A"/>
    <w:rsid w:val="00785BF8"/>
    <w:rsid w:val="00786635"/>
    <w:rsid w:val="00787012"/>
    <w:rsid w:val="00787544"/>
    <w:rsid w:val="007907EB"/>
    <w:rsid w:val="00790C9D"/>
    <w:rsid w:val="00790CB6"/>
    <w:rsid w:val="00791DCE"/>
    <w:rsid w:val="0079226E"/>
    <w:rsid w:val="00793648"/>
    <w:rsid w:val="007937BB"/>
    <w:rsid w:val="00793C28"/>
    <w:rsid w:val="00794935"/>
    <w:rsid w:val="00795637"/>
    <w:rsid w:val="00796760"/>
    <w:rsid w:val="00796975"/>
    <w:rsid w:val="007972CE"/>
    <w:rsid w:val="007974CF"/>
    <w:rsid w:val="007A05ED"/>
    <w:rsid w:val="007A15DB"/>
    <w:rsid w:val="007A1CE2"/>
    <w:rsid w:val="007A2244"/>
    <w:rsid w:val="007A45CE"/>
    <w:rsid w:val="007A55B0"/>
    <w:rsid w:val="007A65AE"/>
    <w:rsid w:val="007A678D"/>
    <w:rsid w:val="007A6A94"/>
    <w:rsid w:val="007A6C54"/>
    <w:rsid w:val="007A6E48"/>
    <w:rsid w:val="007A705F"/>
    <w:rsid w:val="007A78FE"/>
    <w:rsid w:val="007A7FCD"/>
    <w:rsid w:val="007B0187"/>
    <w:rsid w:val="007B0DDC"/>
    <w:rsid w:val="007B11DD"/>
    <w:rsid w:val="007B153F"/>
    <w:rsid w:val="007B2073"/>
    <w:rsid w:val="007B24CD"/>
    <w:rsid w:val="007B262D"/>
    <w:rsid w:val="007B4A55"/>
    <w:rsid w:val="007B5415"/>
    <w:rsid w:val="007B5418"/>
    <w:rsid w:val="007C0902"/>
    <w:rsid w:val="007C0E6F"/>
    <w:rsid w:val="007C1F3E"/>
    <w:rsid w:val="007C2B34"/>
    <w:rsid w:val="007C3890"/>
    <w:rsid w:val="007C3E50"/>
    <w:rsid w:val="007C3F92"/>
    <w:rsid w:val="007C62EF"/>
    <w:rsid w:val="007C709C"/>
    <w:rsid w:val="007C7F32"/>
    <w:rsid w:val="007D0172"/>
    <w:rsid w:val="007D0449"/>
    <w:rsid w:val="007D0F81"/>
    <w:rsid w:val="007D1BA4"/>
    <w:rsid w:val="007D2AAE"/>
    <w:rsid w:val="007D2C27"/>
    <w:rsid w:val="007D407D"/>
    <w:rsid w:val="007D4512"/>
    <w:rsid w:val="007D670D"/>
    <w:rsid w:val="007D7A92"/>
    <w:rsid w:val="007D7EA9"/>
    <w:rsid w:val="007E06DB"/>
    <w:rsid w:val="007E2855"/>
    <w:rsid w:val="007E3C8A"/>
    <w:rsid w:val="007E3F10"/>
    <w:rsid w:val="007E4610"/>
    <w:rsid w:val="007E7D06"/>
    <w:rsid w:val="007F0B07"/>
    <w:rsid w:val="007F0D98"/>
    <w:rsid w:val="007F0F2B"/>
    <w:rsid w:val="007F1CE6"/>
    <w:rsid w:val="007F2E0A"/>
    <w:rsid w:val="007F4762"/>
    <w:rsid w:val="007F47D9"/>
    <w:rsid w:val="007F6A7A"/>
    <w:rsid w:val="007F78B0"/>
    <w:rsid w:val="007F7C1B"/>
    <w:rsid w:val="007F7C6E"/>
    <w:rsid w:val="007F7CEF"/>
    <w:rsid w:val="0080044F"/>
    <w:rsid w:val="00800C2E"/>
    <w:rsid w:val="00802DDE"/>
    <w:rsid w:val="008032DD"/>
    <w:rsid w:val="008037C0"/>
    <w:rsid w:val="0080435B"/>
    <w:rsid w:val="008052B0"/>
    <w:rsid w:val="00805D85"/>
    <w:rsid w:val="00806546"/>
    <w:rsid w:val="00807513"/>
    <w:rsid w:val="00807953"/>
    <w:rsid w:val="008108A4"/>
    <w:rsid w:val="008108BA"/>
    <w:rsid w:val="00810DB9"/>
    <w:rsid w:val="008138BD"/>
    <w:rsid w:val="00813FDE"/>
    <w:rsid w:val="008147E7"/>
    <w:rsid w:val="00814A8E"/>
    <w:rsid w:val="00815199"/>
    <w:rsid w:val="00815E6F"/>
    <w:rsid w:val="00817315"/>
    <w:rsid w:val="0082146C"/>
    <w:rsid w:val="008217FB"/>
    <w:rsid w:val="00821E01"/>
    <w:rsid w:val="008225C9"/>
    <w:rsid w:val="00822631"/>
    <w:rsid w:val="00822A57"/>
    <w:rsid w:val="008234B0"/>
    <w:rsid w:val="00823521"/>
    <w:rsid w:val="00824CBF"/>
    <w:rsid w:val="008254AA"/>
    <w:rsid w:val="00825F93"/>
    <w:rsid w:val="00826653"/>
    <w:rsid w:val="00827DE9"/>
    <w:rsid w:val="00831E60"/>
    <w:rsid w:val="00832487"/>
    <w:rsid w:val="008348E4"/>
    <w:rsid w:val="0083498B"/>
    <w:rsid w:val="00834D1A"/>
    <w:rsid w:val="008351EE"/>
    <w:rsid w:val="00836007"/>
    <w:rsid w:val="00841729"/>
    <w:rsid w:val="00841AD3"/>
    <w:rsid w:val="008425D0"/>
    <w:rsid w:val="0084334C"/>
    <w:rsid w:val="00843642"/>
    <w:rsid w:val="00843AAA"/>
    <w:rsid w:val="00843E58"/>
    <w:rsid w:val="0084478E"/>
    <w:rsid w:val="00844A61"/>
    <w:rsid w:val="00844CC9"/>
    <w:rsid w:val="008457F6"/>
    <w:rsid w:val="0085019A"/>
    <w:rsid w:val="00850C1C"/>
    <w:rsid w:val="00851368"/>
    <w:rsid w:val="00851AD2"/>
    <w:rsid w:val="00851E89"/>
    <w:rsid w:val="00851F26"/>
    <w:rsid w:val="00852869"/>
    <w:rsid w:val="00854867"/>
    <w:rsid w:val="00856274"/>
    <w:rsid w:val="00856558"/>
    <w:rsid w:val="00856DB6"/>
    <w:rsid w:val="008572F7"/>
    <w:rsid w:val="008573DE"/>
    <w:rsid w:val="00857457"/>
    <w:rsid w:val="0085753E"/>
    <w:rsid w:val="00857F56"/>
    <w:rsid w:val="0086024D"/>
    <w:rsid w:val="00860487"/>
    <w:rsid w:val="008606E9"/>
    <w:rsid w:val="00860CD7"/>
    <w:rsid w:val="00860E0D"/>
    <w:rsid w:val="008613B8"/>
    <w:rsid w:val="0086339E"/>
    <w:rsid w:val="008642E9"/>
    <w:rsid w:val="00864921"/>
    <w:rsid w:val="0086664F"/>
    <w:rsid w:val="00866BFC"/>
    <w:rsid w:val="0086736A"/>
    <w:rsid w:val="008674B6"/>
    <w:rsid w:val="008676F3"/>
    <w:rsid w:val="00867D4F"/>
    <w:rsid w:val="00871B14"/>
    <w:rsid w:val="00871F8E"/>
    <w:rsid w:val="008721DD"/>
    <w:rsid w:val="00872276"/>
    <w:rsid w:val="00872E44"/>
    <w:rsid w:val="00873017"/>
    <w:rsid w:val="00873C21"/>
    <w:rsid w:val="00873F89"/>
    <w:rsid w:val="008740E2"/>
    <w:rsid w:val="00876268"/>
    <w:rsid w:val="008767E4"/>
    <w:rsid w:val="0087683D"/>
    <w:rsid w:val="00877121"/>
    <w:rsid w:val="00880BFC"/>
    <w:rsid w:val="00881271"/>
    <w:rsid w:val="00881B97"/>
    <w:rsid w:val="00881FC6"/>
    <w:rsid w:val="00882C99"/>
    <w:rsid w:val="00883945"/>
    <w:rsid w:val="008843C0"/>
    <w:rsid w:val="0088570E"/>
    <w:rsid w:val="00885AEF"/>
    <w:rsid w:val="008871BE"/>
    <w:rsid w:val="00887F56"/>
    <w:rsid w:val="008909A1"/>
    <w:rsid w:val="00890DB2"/>
    <w:rsid w:val="008923D0"/>
    <w:rsid w:val="0089240C"/>
    <w:rsid w:val="00892B7E"/>
    <w:rsid w:val="00892D09"/>
    <w:rsid w:val="008932FD"/>
    <w:rsid w:val="00893675"/>
    <w:rsid w:val="00894407"/>
    <w:rsid w:val="00895AF0"/>
    <w:rsid w:val="00895C97"/>
    <w:rsid w:val="0089639D"/>
    <w:rsid w:val="00896D79"/>
    <w:rsid w:val="00897D59"/>
    <w:rsid w:val="008A005F"/>
    <w:rsid w:val="008A159B"/>
    <w:rsid w:val="008A16BE"/>
    <w:rsid w:val="008A1B54"/>
    <w:rsid w:val="008A1DE9"/>
    <w:rsid w:val="008A401F"/>
    <w:rsid w:val="008A5A76"/>
    <w:rsid w:val="008A689A"/>
    <w:rsid w:val="008A6E06"/>
    <w:rsid w:val="008B2D5E"/>
    <w:rsid w:val="008B37DF"/>
    <w:rsid w:val="008B48C6"/>
    <w:rsid w:val="008B520B"/>
    <w:rsid w:val="008B564C"/>
    <w:rsid w:val="008B660A"/>
    <w:rsid w:val="008B6AC5"/>
    <w:rsid w:val="008B6E72"/>
    <w:rsid w:val="008B7F12"/>
    <w:rsid w:val="008C0CA6"/>
    <w:rsid w:val="008C0E21"/>
    <w:rsid w:val="008C119F"/>
    <w:rsid w:val="008C1CF8"/>
    <w:rsid w:val="008C1F4A"/>
    <w:rsid w:val="008C2A67"/>
    <w:rsid w:val="008C3587"/>
    <w:rsid w:val="008C45E1"/>
    <w:rsid w:val="008D0D8C"/>
    <w:rsid w:val="008D11E6"/>
    <w:rsid w:val="008D1C11"/>
    <w:rsid w:val="008D2D6C"/>
    <w:rsid w:val="008D3839"/>
    <w:rsid w:val="008D3A4A"/>
    <w:rsid w:val="008D3AE4"/>
    <w:rsid w:val="008D4009"/>
    <w:rsid w:val="008D4015"/>
    <w:rsid w:val="008D4571"/>
    <w:rsid w:val="008D4DCD"/>
    <w:rsid w:val="008D4E10"/>
    <w:rsid w:val="008D5677"/>
    <w:rsid w:val="008D6489"/>
    <w:rsid w:val="008D6C90"/>
    <w:rsid w:val="008D7010"/>
    <w:rsid w:val="008D7025"/>
    <w:rsid w:val="008D7C99"/>
    <w:rsid w:val="008D7F12"/>
    <w:rsid w:val="008E0238"/>
    <w:rsid w:val="008E1598"/>
    <w:rsid w:val="008E166F"/>
    <w:rsid w:val="008E3695"/>
    <w:rsid w:val="008E4093"/>
    <w:rsid w:val="008E4468"/>
    <w:rsid w:val="008E4DEC"/>
    <w:rsid w:val="008E4F2B"/>
    <w:rsid w:val="008E55AE"/>
    <w:rsid w:val="008E663F"/>
    <w:rsid w:val="008E67CE"/>
    <w:rsid w:val="008E6929"/>
    <w:rsid w:val="008E69BF"/>
    <w:rsid w:val="008E7DE7"/>
    <w:rsid w:val="008F0ABB"/>
    <w:rsid w:val="008F1200"/>
    <w:rsid w:val="008F1C35"/>
    <w:rsid w:val="008F1EF5"/>
    <w:rsid w:val="008F356B"/>
    <w:rsid w:val="008F38C7"/>
    <w:rsid w:val="008F3C4D"/>
    <w:rsid w:val="008F7446"/>
    <w:rsid w:val="008F760B"/>
    <w:rsid w:val="00900412"/>
    <w:rsid w:val="00900C1A"/>
    <w:rsid w:val="00901D10"/>
    <w:rsid w:val="009024D6"/>
    <w:rsid w:val="009032EB"/>
    <w:rsid w:val="009041C1"/>
    <w:rsid w:val="009051CC"/>
    <w:rsid w:val="009052FB"/>
    <w:rsid w:val="00905804"/>
    <w:rsid w:val="00906533"/>
    <w:rsid w:val="00906BA4"/>
    <w:rsid w:val="009070F0"/>
    <w:rsid w:val="00910F15"/>
    <w:rsid w:val="0091110C"/>
    <w:rsid w:val="00911647"/>
    <w:rsid w:val="00912E97"/>
    <w:rsid w:val="0091372C"/>
    <w:rsid w:val="0091565C"/>
    <w:rsid w:val="00915A66"/>
    <w:rsid w:val="00915D04"/>
    <w:rsid w:val="00915EEF"/>
    <w:rsid w:val="009170F7"/>
    <w:rsid w:val="00920686"/>
    <w:rsid w:val="0092157F"/>
    <w:rsid w:val="00921681"/>
    <w:rsid w:val="00921962"/>
    <w:rsid w:val="00921EC0"/>
    <w:rsid w:val="00922425"/>
    <w:rsid w:val="009236D4"/>
    <w:rsid w:val="00926242"/>
    <w:rsid w:val="009273EC"/>
    <w:rsid w:val="009312F8"/>
    <w:rsid w:val="00931305"/>
    <w:rsid w:val="00931A6A"/>
    <w:rsid w:val="009320FA"/>
    <w:rsid w:val="0093363E"/>
    <w:rsid w:val="009347AE"/>
    <w:rsid w:val="00934B2D"/>
    <w:rsid w:val="009367E2"/>
    <w:rsid w:val="0093722E"/>
    <w:rsid w:val="00937495"/>
    <w:rsid w:val="00937828"/>
    <w:rsid w:val="00937EDF"/>
    <w:rsid w:val="00937F69"/>
    <w:rsid w:val="0094019D"/>
    <w:rsid w:val="00940E1A"/>
    <w:rsid w:val="0094223C"/>
    <w:rsid w:val="00942F2E"/>
    <w:rsid w:val="00944F98"/>
    <w:rsid w:val="00945544"/>
    <w:rsid w:val="00945A9B"/>
    <w:rsid w:val="00945C87"/>
    <w:rsid w:val="009507EE"/>
    <w:rsid w:val="009509E9"/>
    <w:rsid w:val="00950C03"/>
    <w:rsid w:val="00951854"/>
    <w:rsid w:val="00951EEA"/>
    <w:rsid w:val="009523EE"/>
    <w:rsid w:val="009525E5"/>
    <w:rsid w:val="00952A72"/>
    <w:rsid w:val="00955FBB"/>
    <w:rsid w:val="00956692"/>
    <w:rsid w:val="00957DF4"/>
    <w:rsid w:val="00960C1E"/>
    <w:rsid w:val="00960E2D"/>
    <w:rsid w:val="00961036"/>
    <w:rsid w:val="00962215"/>
    <w:rsid w:val="009623C7"/>
    <w:rsid w:val="00964535"/>
    <w:rsid w:val="00966717"/>
    <w:rsid w:val="009672A3"/>
    <w:rsid w:val="00967B27"/>
    <w:rsid w:val="00967B39"/>
    <w:rsid w:val="009704E5"/>
    <w:rsid w:val="009707C5"/>
    <w:rsid w:val="00970E29"/>
    <w:rsid w:val="00972F5C"/>
    <w:rsid w:val="00972FCE"/>
    <w:rsid w:val="009735E6"/>
    <w:rsid w:val="0097365F"/>
    <w:rsid w:val="00973B58"/>
    <w:rsid w:val="00973DB7"/>
    <w:rsid w:val="009745FE"/>
    <w:rsid w:val="00975B3E"/>
    <w:rsid w:val="00975EE0"/>
    <w:rsid w:val="00976110"/>
    <w:rsid w:val="00977A94"/>
    <w:rsid w:val="009813A9"/>
    <w:rsid w:val="009815CD"/>
    <w:rsid w:val="009816AF"/>
    <w:rsid w:val="0098193C"/>
    <w:rsid w:val="00981EAD"/>
    <w:rsid w:val="00981EBA"/>
    <w:rsid w:val="0098301A"/>
    <w:rsid w:val="00983E59"/>
    <w:rsid w:val="00984DC8"/>
    <w:rsid w:val="009852AA"/>
    <w:rsid w:val="009852B1"/>
    <w:rsid w:val="0098781B"/>
    <w:rsid w:val="0099006D"/>
    <w:rsid w:val="00994972"/>
    <w:rsid w:val="00994DDF"/>
    <w:rsid w:val="00994EB9"/>
    <w:rsid w:val="00995920"/>
    <w:rsid w:val="00995FE2"/>
    <w:rsid w:val="00996B5E"/>
    <w:rsid w:val="00996E99"/>
    <w:rsid w:val="00996F71"/>
    <w:rsid w:val="009978A4"/>
    <w:rsid w:val="009A2576"/>
    <w:rsid w:val="009A2FD9"/>
    <w:rsid w:val="009A300E"/>
    <w:rsid w:val="009A38B6"/>
    <w:rsid w:val="009A59F3"/>
    <w:rsid w:val="009A63B9"/>
    <w:rsid w:val="009A68A0"/>
    <w:rsid w:val="009B202B"/>
    <w:rsid w:val="009B30B6"/>
    <w:rsid w:val="009B3B58"/>
    <w:rsid w:val="009B3C01"/>
    <w:rsid w:val="009B42BB"/>
    <w:rsid w:val="009B4623"/>
    <w:rsid w:val="009B4A40"/>
    <w:rsid w:val="009B5248"/>
    <w:rsid w:val="009B5E8F"/>
    <w:rsid w:val="009B68BF"/>
    <w:rsid w:val="009B6C74"/>
    <w:rsid w:val="009B73F1"/>
    <w:rsid w:val="009B7BF3"/>
    <w:rsid w:val="009C0F54"/>
    <w:rsid w:val="009C2327"/>
    <w:rsid w:val="009C34FD"/>
    <w:rsid w:val="009C5181"/>
    <w:rsid w:val="009C6626"/>
    <w:rsid w:val="009C72D3"/>
    <w:rsid w:val="009C7430"/>
    <w:rsid w:val="009D045B"/>
    <w:rsid w:val="009D05DF"/>
    <w:rsid w:val="009D1AE9"/>
    <w:rsid w:val="009D2206"/>
    <w:rsid w:val="009D325B"/>
    <w:rsid w:val="009D36DA"/>
    <w:rsid w:val="009D3BAC"/>
    <w:rsid w:val="009D3C8E"/>
    <w:rsid w:val="009D4FE9"/>
    <w:rsid w:val="009D594F"/>
    <w:rsid w:val="009D624F"/>
    <w:rsid w:val="009D694A"/>
    <w:rsid w:val="009E0C7F"/>
    <w:rsid w:val="009E1997"/>
    <w:rsid w:val="009E1CE8"/>
    <w:rsid w:val="009E3539"/>
    <w:rsid w:val="009E4092"/>
    <w:rsid w:val="009E4956"/>
    <w:rsid w:val="009E65DD"/>
    <w:rsid w:val="009F0C46"/>
    <w:rsid w:val="009F1D78"/>
    <w:rsid w:val="009F2698"/>
    <w:rsid w:val="009F2716"/>
    <w:rsid w:val="009F2DBE"/>
    <w:rsid w:val="009F360C"/>
    <w:rsid w:val="009F3CD6"/>
    <w:rsid w:val="009F3D34"/>
    <w:rsid w:val="009F4D80"/>
    <w:rsid w:val="009F4FB2"/>
    <w:rsid w:val="009F5289"/>
    <w:rsid w:val="009F5514"/>
    <w:rsid w:val="009F665C"/>
    <w:rsid w:val="009F7ECF"/>
    <w:rsid w:val="00A0023F"/>
    <w:rsid w:val="00A015E5"/>
    <w:rsid w:val="00A01D56"/>
    <w:rsid w:val="00A040C3"/>
    <w:rsid w:val="00A042C1"/>
    <w:rsid w:val="00A048BC"/>
    <w:rsid w:val="00A04B90"/>
    <w:rsid w:val="00A06651"/>
    <w:rsid w:val="00A07979"/>
    <w:rsid w:val="00A10DCB"/>
    <w:rsid w:val="00A11AAE"/>
    <w:rsid w:val="00A11F5B"/>
    <w:rsid w:val="00A12814"/>
    <w:rsid w:val="00A12E1E"/>
    <w:rsid w:val="00A12FDA"/>
    <w:rsid w:val="00A13688"/>
    <w:rsid w:val="00A1423C"/>
    <w:rsid w:val="00A14908"/>
    <w:rsid w:val="00A14B51"/>
    <w:rsid w:val="00A16052"/>
    <w:rsid w:val="00A17475"/>
    <w:rsid w:val="00A20C39"/>
    <w:rsid w:val="00A2102A"/>
    <w:rsid w:val="00A21160"/>
    <w:rsid w:val="00A2168A"/>
    <w:rsid w:val="00A216AA"/>
    <w:rsid w:val="00A2183E"/>
    <w:rsid w:val="00A21F4C"/>
    <w:rsid w:val="00A2308A"/>
    <w:rsid w:val="00A236E1"/>
    <w:rsid w:val="00A241C8"/>
    <w:rsid w:val="00A253DC"/>
    <w:rsid w:val="00A25BCB"/>
    <w:rsid w:val="00A265CE"/>
    <w:rsid w:val="00A27932"/>
    <w:rsid w:val="00A30A91"/>
    <w:rsid w:val="00A3103C"/>
    <w:rsid w:val="00A3295F"/>
    <w:rsid w:val="00A32FCA"/>
    <w:rsid w:val="00A33D1E"/>
    <w:rsid w:val="00A34C6F"/>
    <w:rsid w:val="00A34D46"/>
    <w:rsid w:val="00A35654"/>
    <w:rsid w:val="00A369A6"/>
    <w:rsid w:val="00A36D82"/>
    <w:rsid w:val="00A373F4"/>
    <w:rsid w:val="00A37B44"/>
    <w:rsid w:val="00A40368"/>
    <w:rsid w:val="00A40B7C"/>
    <w:rsid w:val="00A42A24"/>
    <w:rsid w:val="00A42C4C"/>
    <w:rsid w:val="00A43EB7"/>
    <w:rsid w:val="00A44FDC"/>
    <w:rsid w:val="00A44FEF"/>
    <w:rsid w:val="00A45FEF"/>
    <w:rsid w:val="00A464AC"/>
    <w:rsid w:val="00A472D6"/>
    <w:rsid w:val="00A47A34"/>
    <w:rsid w:val="00A5008B"/>
    <w:rsid w:val="00A5112F"/>
    <w:rsid w:val="00A516FD"/>
    <w:rsid w:val="00A5173B"/>
    <w:rsid w:val="00A51B24"/>
    <w:rsid w:val="00A52A81"/>
    <w:rsid w:val="00A53367"/>
    <w:rsid w:val="00A56195"/>
    <w:rsid w:val="00A56364"/>
    <w:rsid w:val="00A60422"/>
    <w:rsid w:val="00A618EF"/>
    <w:rsid w:val="00A62856"/>
    <w:rsid w:val="00A64045"/>
    <w:rsid w:val="00A640E4"/>
    <w:rsid w:val="00A64DFC"/>
    <w:rsid w:val="00A6622C"/>
    <w:rsid w:val="00A67456"/>
    <w:rsid w:val="00A7110F"/>
    <w:rsid w:val="00A7114C"/>
    <w:rsid w:val="00A72EB5"/>
    <w:rsid w:val="00A7382F"/>
    <w:rsid w:val="00A73B8C"/>
    <w:rsid w:val="00A74286"/>
    <w:rsid w:val="00A74CD2"/>
    <w:rsid w:val="00A74DE5"/>
    <w:rsid w:val="00A75277"/>
    <w:rsid w:val="00A752FE"/>
    <w:rsid w:val="00A779DC"/>
    <w:rsid w:val="00A810AB"/>
    <w:rsid w:val="00A812B5"/>
    <w:rsid w:val="00A818E2"/>
    <w:rsid w:val="00A82FE0"/>
    <w:rsid w:val="00A837B1"/>
    <w:rsid w:val="00A83A72"/>
    <w:rsid w:val="00A83F37"/>
    <w:rsid w:val="00A8431B"/>
    <w:rsid w:val="00A8482E"/>
    <w:rsid w:val="00A84C96"/>
    <w:rsid w:val="00A84F27"/>
    <w:rsid w:val="00A86D92"/>
    <w:rsid w:val="00A86DF5"/>
    <w:rsid w:val="00A87560"/>
    <w:rsid w:val="00A90D09"/>
    <w:rsid w:val="00A91ABA"/>
    <w:rsid w:val="00A91BE5"/>
    <w:rsid w:val="00A920A8"/>
    <w:rsid w:val="00A94A83"/>
    <w:rsid w:val="00A95275"/>
    <w:rsid w:val="00A9535D"/>
    <w:rsid w:val="00A97002"/>
    <w:rsid w:val="00A97531"/>
    <w:rsid w:val="00A97A29"/>
    <w:rsid w:val="00A97EE2"/>
    <w:rsid w:val="00AA0A98"/>
    <w:rsid w:val="00AA1525"/>
    <w:rsid w:val="00AA1F2C"/>
    <w:rsid w:val="00AA2025"/>
    <w:rsid w:val="00AA2334"/>
    <w:rsid w:val="00AA2506"/>
    <w:rsid w:val="00AA27DA"/>
    <w:rsid w:val="00AA3328"/>
    <w:rsid w:val="00AA471D"/>
    <w:rsid w:val="00AA4EF1"/>
    <w:rsid w:val="00AA581F"/>
    <w:rsid w:val="00AA598D"/>
    <w:rsid w:val="00AA5AE7"/>
    <w:rsid w:val="00AA7092"/>
    <w:rsid w:val="00AA78DC"/>
    <w:rsid w:val="00AB041C"/>
    <w:rsid w:val="00AB1270"/>
    <w:rsid w:val="00AB199C"/>
    <w:rsid w:val="00AB1FA3"/>
    <w:rsid w:val="00AB52DB"/>
    <w:rsid w:val="00AB534B"/>
    <w:rsid w:val="00AB664E"/>
    <w:rsid w:val="00AB7948"/>
    <w:rsid w:val="00AB7B43"/>
    <w:rsid w:val="00AB7E17"/>
    <w:rsid w:val="00AC039F"/>
    <w:rsid w:val="00AC41B5"/>
    <w:rsid w:val="00AC5877"/>
    <w:rsid w:val="00AC6469"/>
    <w:rsid w:val="00AC679B"/>
    <w:rsid w:val="00AC70D9"/>
    <w:rsid w:val="00AD134F"/>
    <w:rsid w:val="00AD287A"/>
    <w:rsid w:val="00AD4328"/>
    <w:rsid w:val="00AD44F6"/>
    <w:rsid w:val="00AD6239"/>
    <w:rsid w:val="00AD6388"/>
    <w:rsid w:val="00AD75A9"/>
    <w:rsid w:val="00AD777E"/>
    <w:rsid w:val="00AD7D57"/>
    <w:rsid w:val="00AD7E03"/>
    <w:rsid w:val="00AD7F25"/>
    <w:rsid w:val="00AE224C"/>
    <w:rsid w:val="00AE3650"/>
    <w:rsid w:val="00AE3AC5"/>
    <w:rsid w:val="00AE47C7"/>
    <w:rsid w:val="00AE4853"/>
    <w:rsid w:val="00AE49F8"/>
    <w:rsid w:val="00AE56FA"/>
    <w:rsid w:val="00AE5B27"/>
    <w:rsid w:val="00AE6801"/>
    <w:rsid w:val="00AE6E53"/>
    <w:rsid w:val="00AE6EDD"/>
    <w:rsid w:val="00AF0EAF"/>
    <w:rsid w:val="00AF1352"/>
    <w:rsid w:val="00AF1CA3"/>
    <w:rsid w:val="00AF1CEF"/>
    <w:rsid w:val="00AF26F7"/>
    <w:rsid w:val="00AF5886"/>
    <w:rsid w:val="00AF67B4"/>
    <w:rsid w:val="00AF6B65"/>
    <w:rsid w:val="00AF738F"/>
    <w:rsid w:val="00B01222"/>
    <w:rsid w:val="00B0187F"/>
    <w:rsid w:val="00B0357F"/>
    <w:rsid w:val="00B03E07"/>
    <w:rsid w:val="00B041F4"/>
    <w:rsid w:val="00B047A5"/>
    <w:rsid w:val="00B04BD3"/>
    <w:rsid w:val="00B070CE"/>
    <w:rsid w:val="00B076F6"/>
    <w:rsid w:val="00B11192"/>
    <w:rsid w:val="00B12193"/>
    <w:rsid w:val="00B1267E"/>
    <w:rsid w:val="00B12832"/>
    <w:rsid w:val="00B128B5"/>
    <w:rsid w:val="00B1307E"/>
    <w:rsid w:val="00B13CF4"/>
    <w:rsid w:val="00B14AB5"/>
    <w:rsid w:val="00B14EA7"/>
    <w:rsid w:val="00B16275"/>
    <w:rsid w:val="00B165CE"/>
    <w:rsid w:val="00B21369"/>
    <w:rsid w:val="00B22721"/>
    <w:rsid w:val="00B2409C"/>
    <w:rsid w:val="00B24184"/>
    <w:rsid w:val="00B24C9B"/>
    <w:rsid w:val="00B254C6"/>
    <w:rsid w:val="00B25B82"/>
    <w:rsid w:val="00B26F08"/>
    <w:rsid w:val="00B33732"/>
    <w:rsid w:val="00B33834"/>
    <w:rsid w:val="00B33D58"/>
    <w:rsid w:val="00B357D4"/>
    <w:rsid w:val="00B36132"/>
    <w:rsid w:val="00B366A0"/>
    <w:rsid w:val="00B376C0"/>
    <w:rsid w:val="00B403DC"/>
    <w:rsid w:val="00B40620"/>
    <w:rsid w:val="00B40C82"/>
    <w:rsid w:val="00B42F80"/>
    <w:rsid w:val="00B4451A"/>
    <w:rsid w:val="00B44F9B"/>
    <w:rsid w:val="00B458D2"/>
    <w:rsid w:val="00B477AA"/>
    <w:rsid w:val="00B47E81"/>
    <w:rsid w:val="00B5040D"/>
    <w:rsid w:val="00B511B1"/>
    <w:rsid w:val="00B511C4"/>
    <w:rsid w:val="00B51A91"/>
    <w:rsid w:val="00B539A8"/>
    <w:rsid w:val="00B53D88"/>
    <w:rsid w:val="00B53EB1"/>
    <w:rsid w:val="00B554D3"/>
    <w:rsid w:val="00B56174"/>
    <w:rsid w:val="00B57E44"/>
    <w:rsid w:val="00B60981"/>
    <w:rsid w:val="00B60B2D"/>
    <w:rsid w:val="00B61605"/>
    <w:rsid w:val="00B6174C"/>
    <w:rsid w:val="00B6238A"/>
    <w:rsid w:val="00B627F4"/>
    <w:rsid w:val="00B62912"/>
    <w:rsid w:val="00B62AD5"/>
    <w:rsid w:val="00B65B37"/>
    <w:rsid w:val="00B72325"/>
    <w:rsid w:val="00B72880"/>
    <w:rsid w:val="00B73637"/>
    <w:rsid w:val="00B73A57"/>
    <w:rsid w:val="00B76C4A"/>
    <w:rsid w:val="00B77597"/>
    <w:rsid w:val="00B775A7"/>
    <w:rsid w:val="00B803A2"/>
    <w:rsid w:val="00B80D86"/>
    <w:rsid w:val="00B8119C"/>
    <w:rsid w:val="00B835EA"/>
    <w:rsid w:val="00B839C8"/>
    <w:rsid w:val="00B86009"/>
    <w:rsid w:val="00B87131"/>
    <w:rsid w:val="00B87DD9"/>
    <w:rsid w:val="00B92720"/>
    <w:rsid w:val="00B92AD3"/>
    <w:rsid w:val="00B94010"/>
    <w:rsid w:val="00B94097"/>
    <w:rsid w:val="00B95335"/>
    <w:rsid w:val="00B96275"/>
    <w:rsid w:val="00B9631C"/>
    <w:rsid w:val="00B97B96"/>
    <w:rsid w:val="00BA01E3"/>
    <w:rsid w:val="00BA06B2"/>
    <w:rsid w:val="00BA075F"/>
    <w:rsid w:val="00BA0926"/>
    <w:rsid w:val="00BA0C46"/>
    <w:rsid w:val="00BA19EA"/>
    <w:rsid w:val="00BA225A"/>
    <w:rsid w:val="00BA2F73"/>
    <w:rsid w:val="00BA329C"/>
    <w:rsid w:val="00BA38CD"/>
    <w:rsid w:val="00BA3E6D"/>
    <w:rsid w:val="00BA48F6"/>
    <w:rsid w:val="00BA54F5"/>
    <w:rsid w:val="00BA60B8"/>
    <w:rsid w:val="00BA61B0"/>
    <w:rsid w:val="00BA749B"/>
    <w:rsid w:val="00BA7672"/>
    <w:rsid w:val="00BA7C08"/>
    <w:rsid w:val="00BA7FA9"/>
    <w:rsid w:val="00BB14A0"/>
    <w:rsid w:val="00BB151C"/>
    <w:rsid w:val="00BB1A88"/>
    <w:rsid w:val="00BB1B23"/>
    <w:rsid w:val="00BB1F27"/>
    <w:rsid w:val="00BB30AB"/>
    <w:rsid w:val="00BB461B"/>
    <w:rsid w:val="00BB486E"/>
    <w:rsid w:val="00BB5FED"/>
    <w:rsid w:val="00BB62A9"/>
    <w:rsid w:val="00BB7CA0"/>
    <w:rsid w:val="00BC044D"/>
    <w:rsid w:val="00BC0A4E"/>
    <w:rsid w:val="00BC123D"/>
    <w:rsid w:val="00BC14C9"/>
    <w:rsid w:val="00BC1E01"/>
    <w:rsid w:val="00BC3EDC"/>
    <w:rsid w:val="00BC4CBA"/>
    <w:rsid w:val="00BC5902"/>
    <w:rsid w:val="00BC5D8D"/>
    <w:rsid w:val="00BC6403"/>
    <w:rsid w:val="00BC7AF1"/>
    <w:rsid w:val="00BC7F2C"/>
    <w:rsid w:val="00BD030B"/>
    <w:rsid w:val="00BD0F4E"/>
    <w:rsid w:val="00BD0F79"/>
    <w:rsid w:val="00BD2329"/>
    <w:rsid w:val="00BD2469"/>
    <w:rsid w:val="00BD2809"/>
    <w:rsid w:val="00BD3554"/>
    <w:rsid w:val="00BD3719"/>
    <w:rsid w:val="00BD3C18"/>
    <w:rsid w:val="00BD430D"/>
    <w:rsid w:val="00BD4EF8"/>
    <w:rsid w:val="00BD4FFF"/>
    <w:rsid w:val="00BD5325"/>
    <w:rsid w:val="00BD6424"/>
    <w:rsid w:val="00BD7B4D"/>
    <w:rsid w:val="00BE11A5"/>
    <w:rsid w:val="00BE1A18"/>
    <w:rsid w:val="00BE1DCB"/>
    <w:rsid w:val="00BE2DEC"/>
    <w:rsid w:val="00BE42B5"/>
    <w:rsid w:val="00BE4709"/>
    <w:rsid w:val="00BE4C2D"/>
    <w:rsid w:val="00BE5737"/>
    <w:rsid w:val="00BE615D"/>
    <w:rsid w:val="00BE6A94"/>
    <w:rsid w:val="00BE6DE0"/>
    <w:rsid w:val="00BF06D9"/>
    <w:rsid w:val="00BF0A87"/>
    <w:rsid w:val="00BF1407"/>
    <w:rsid w:val="00BF162C"/>
    <w:rsid w:val="00BF1830"/>
    <w:rsid w:val="00BF1E89"/>
    <w:rsid w:val="00BF25A0"/>
    <w:rsid w:val="00BF2649"/>
    <w:rsid w:val="00BF2D1A"/>
    <w:rsid w:val="00BF633C"/>
    <w:rsid w:val="00BF7A8C"/>
    <w:rsid w:val="00BF7D3F"/>
    <w:rsid w:val="00C004C8"/>
    <w:rsid w:val="00C0297C"/>
    <w:rsid w:val="00C029B2"/>
    <w:rsid w:val="00C032A8"/>
    <w:rsid w:val="00C03BB9"/>
    <w:rsid w:val="00C04487"/>
    <w:rsid w:val="00C04F43"/>
    <w:rsid w:val="00C05B04"/>
    <w:rsid w:val="00C10594"/>
    <w:rsid w:val="00C106B0"/>
    <w:rsid w:val="00C11FA2"/>
    <w:rsid w:val="00C12867"/>
    <w:rsid w:val="00C12AAF"/>
    <w:rsid w:val="00C13610"/>
    <w:rsid w:val="00C13C7A"/>
    <w:rsid w:val="00C14B7E"/>
    <w:rsid w:val="00C14C1B"/>
    <w:rsid w:val="00C15218"/>
    <w:rsid w:val="00C15387"/>
    <w:rsid w:val="00C16DF1"/>
    <w:rsid w:val="00C17326"/>
    <w:rsid w:val="00C21726"/>
    <w:rsid w:val="00C21B95"/>
    <w:rsid w:val="00C22435"/>
    <w:rsid w:val="00C22E4F"/>
    <w:rsid w:val="00C23C1E"/>
    <w:rsid w:val="00C24966"/>
    <w:rsid w:val="00C24A4E"/>
    <w:rsid w:val="00C25464"/>
    <w:rsid w:val="00C26E07"/>
    <w:rsid w:val="00C27666"/>
    <w:rsid w:val="00C30691"/>
    <w:rsid w:val="00C3083F"/>
    <w:rsid w:val="00C30CAB"/>
    <w:rsid w:val="00C317BD"/>
    <w:rsid w:val="00C31F6E"/>
    <w:rsid w:val="00C33684"/>
    <w:rsid w:val="00C340E1"/>
    <w:rsid w:val="00C35260"/>
    <w:rsid w:val="00C355D8"/>
    <w:rsid w:val="00C36613"/>
    <w:rsid w:val="00C36A1E"/>
    <w:rsid w:val="00C3755F"/>
    <w:rsid w:val="00C401DB"/>
    <w:rsid w:val="00C42AC6"/>
    <w:rsid w:val="00C42CC5"/>
    <w:rsid w:val="00C4359B"/>
    <w:rsid w:val="00C44187"/>
    <w:rsid w:val="00C453CA"/>
    <w:rsid w:val="00C50251"/>
    <w:rsid w:val="00C52410"/>
    <w:rsid w:val="00C52D52"/>
    <w:rsid w:val="00C52F79"/>
    <w:rsid w:val="00C52FFB"/>
    <w:rsid w:val="00C541DF"/>
    <w:rsid w:val="00C55BB0"/>
    <w:rsid w:val="00C563DA"/>
    <w:rsid w:val="00C6058A"/>
    <w:rsid w:val="00C61D7F"/>
    <w:rsid w:val="00C644E8"/>
    <w:rsid w:val="00C64F2A"/>
    <w:rsid w:val="00C67F18"/>
    <w:rsid w:val="00C70692"/>
    <w:rsid w:val="00C709C9"/>
    <w:rsid w:val="00C74624"/>
    <w:rsid w:val="00C7467C"/>
    <w:rsid w:val="00C7477A"/>
    <w:rsid w:val="00C82706"/>
    <w:rsid w:val="00C82A59"/>
    <w:rsid w:val="00C82A62"/>
    <w:rsid w:val="00C83B74"/>
    <w:rsid w:val="00C83EBC"/>
    <w:rsid w:val="00C8518D"/>
    <w:rsid w:val="00C87016"/>
    <w:rsid w:val="00C87017"/>
    <w:rsid w:val="00C8752A"/>
    <w:rsid w:val="00C87C09"/>
    <w:rsid w:val="00C90EC0"/>
    <w:rsid w:val="00C91C6A"/>
    <w:rsid w:val="00C92F15"/>
    <w:rsid w:val="00C93119"/>
    <w:rsid w:val="00C94D9E"/>
    <w:rsid w:val="00C95248"/>
    <w:rsid w:val="00C95CB5"/>
    <w:rsid w:val="00C95E4E"/>
    <w:rsid w:val="00C95EDC"/>
    <w:rsid w:val="00C96108"/>
    <w:rsid w:val="00C97029"/>
    <w:rsid w:val="00C9717D"/>
    <w:rsid w:val="00C97429"/>
    <w:rsid w:val="00CA0A36"/>
    <w:rsid w:val="00CA0B80"/>
    <w:rsid w:val="00CA13B1"/>
    <w:rsid w:val="00CA2945"/>
    <w:rsid w:val="00CA2DE9"/>
    <w:rsid w:val="00CA2E69"/>
    <w:rsid w:val="00CA302F"/>
    <w:rsid w:val="00CA3B94"/>
    <w:rsid w:val="00CA60AE"/>
    <w:rsid w:val="00CA6A76"/>
    <w:rsid w:val="00CA7707"/>
    <w:rsid w:val="00CB0D81"/>
    <w:rsid w:val="00CB14C6"/>
    <w:rsid w:val="00CB2C07"/>
    <w:rsid w:val="00CB399B"/>
    <w:rsid w:val="00CB5CC5"/>
    <w:rsid w:val="00CB5D8C"/>
    <w:rsid w:val="00CB6128"/>
    <w:rsid w:val="00CB63E6"/>
    <w:rsid w:val="00CB78CF"/>
    <w:rsid w:val="00CB7F3D"/>
    <w:rsid w:val="00CC1086"/>
    <w:rsid w:val="00CC1A1D"/>
    <w:rsid w:val="00CC1C33"/>
    <w:rsid w:val="00CC283E"/>
    <w:rsid w:val="00CC2DD1"/>
    <w:rsid w:val="00CC44E1"/>
    <w:rsid w:val="00CC52F1"/>
    <w:rsid w:val="00CC59CB"/>
    <w:rsid w:val="00CC7632"/>
    <w:rsid w:val="00CC792A"/>
    <w:rsid w:val="00CD1DF0"/>
    <w:rsid w:val="00CD24C7"/>
    <w:rsid w:val="00CD2FE3"/>
    <w:rsid w:val="00CD3F8F"/>
    <w:rsid w:val="00CD4B5B"/>
    <w:rsid w:val="00CD5893"/>
    <w:rsid w:val="00CD63BE"/>
    <w:rsid w:val="00CD68B7"/>
    <w:rsid w:val="00CD7B3C"/>
    <w:rsid w:val="00CD7D80"/>
    <w:rsid w:val="00CD7E5D"/>
    <w:rsid w:val="00CE0E1C"/>
    <w:rsid w:val="00CE1B42"/>
    <w:rsid w:val="00CE5873"/>
    <w:rsid w:val="00CF13F0"/>
    <w:rsid w:val="00CF14E7"/>
    <w:rsid w:val="00CF3F9F"/>
    <w:rsid w:val="00CF57D1"/>
    <w:rsid w:val="00CF6310"/>
    <w:rsid w:val="00D0135E"/>
    <w:rsid w:val="00D0163C"/>
    <w:rsid w:val="00D02360"/>
    <w:rsid w:val="00D02D1B"/>
    <w:rsid w:val="00D0431C"/>
    <w:rsid w:val="00D0446D"/>
    <w:rsid w:val="00D04DEE"/>
    <w:rsid w:val="00D050E6"/>
    <w:rsid w:val="00D07407"/>
    <w:rsid w:val="00D07D6B"/>
    <w:rsid w:val="00D1025E"/>
    <w:rsid w:val="00D105A4"/>
    <w:rsid w:val="00D10F62"/>
    <w:rsid w:val="00D111F9"/>
    <w:rsid w:val="00D125AA"/>
    <w:rsid w:val="00D14746"/>
    <w:rsid w:val="00D151B2"/>
    <w:rsid w:val="00D15DF7"/>
    <w:rsid w:val="00D17B1D"/>
    <w:rsid w:val="00D20D36"/>
    <w:rsid w:val="00D223AB"/>
    <w:rsid w:val="00D2280F"/>
    <w:rsid w:val="00D22E25"/>
    <w:rsid w:val="00D232BB"/>
    <w:rsid w:val="00D23658"/>
    <w:rsid w:val="00D26858"/>
    <w:rsid w:val="00D27FF6"/>
    <w:rsid w:val="00D31089"/>
    <w:rsid w:val="00D31935"/>
    <w:rsid w:val="00D3279E"/>
    <w:rsid w:val="00D337A8"/>
    <w:rsid w:val="00D339E7"/>
    <w:rsid w:val="00D353B6"/>
    <w:rsid w:val="00D406B6"/>
    <w:rsid w:val="00D412A4"/>
    <w:rsid w:val="00D41EF1"/>
    <w:rsid w:val="00D4305F"/>
    <w:rsid w:val="00D440B2"/>
    <w:rsid w:val="00D4437B"/>
    <w:rsid w:val="00D44AD4"/>
    <w:rsid w:val="00D45375"/>
    <w:rsid w:val="00D4548E"/>
    <w:rsid w:val="00D46D9A"/>
    <w:rsid w:val="00D47A86"/>
    <w:rsid w:val="00D50962"/>
    <w:rsid w:val="00D50E02"/>
    <w:rsid w:val="00D51945"/>
    <w:rsid w:val="00D51A79"/>
    <w:rsid w:val="00D5234C"/>
    <w:rsid w:val="00D53996"/>
    <w:rsid w:val="00D53C0D"/>
    <w:rsid w:val="00D53DD9"/>
    <w:rsid w:val="00D5506A"/>
    <w:rsid w:val="00D558D4"/>
    <w:rsid w:val="00D568D5"/>
    <w:rsid w:val="00D56EC7"/>
    <w:rsid w:val="00D61C52"/>
    <w:rsid w:val="00D621DB"/>
    <w:rsid w:val="00D62EAF"/>
    <w:rsid w:val="00D636DA"/>
    <w:rsid w:val="00D63869"/>
    <w:rsid w:val="00D639C6"/>
    <w:rsid w:val="00D65B4D"/>
    <w:rsid w:val="00D65EE9"/>
    <w:rsid w:val="00D65FAE"/>
    <w:rsid w:val="00D66059"/>
    <w:rsid w:val="00D66254"/>
    <w:rsid w:val="00D66A92"/>
    <w:rsid w:val="00D672B7"/>
    <w:rsid w:val="00D676A6"/>
    <w:rsid w:val="00D70818"/>
    <w:rsid w:val="00D70FFB"/>
    <w:rsid w:val="00D71190"/>
    <w:rsid w:val="00D7136A"/>
    <w:rsid w:val="00D71CE0"/>
    <w:rsid w:val="00D721AE"/>
    <w:rsid w:val="00D7224A"/>
    <w:rsid w:val="00D72BDE"/>
    <w:rsid w:val="00D733A5"/>
    <w:rsid w:val="00D74192"/>
    <w:rsid w:val="00D75577"/>
    <w:rsid w:val="00D75CE7"/>
    <w:rsid w:val="00D80814"/>
    <w:rsid w:val="00D81723"/>
    <w:rsid w:val="00D8217D"/>
    <w:rsid w:val="00D825C6"/>
    <w:rsid w:val="00D82A4B"/>
    <w:rsid w:val="00D83907"/>
    <w:rsid w:val="00D84222"/>
    <w:rsid w:val="00D84AC0"/>
    <w:rsid w:val="00D85693"/>
    <w:rsid w:val="00D86B02"/>
    <w:rsid w:val="00D87332"/>
    <w:rsid w:val="00D907AE"/>
    <w:rsid w:val="00D90CB1"/>
    <w:rsid w:val="00D9157D"/>
    <w:rsid w:val="00D92432"/>
    <w:rsid w:val="00D930B8"/>
    <w:rsid w:val="00D93747"/>
    <w:rsid w:val="00D943C4"/>
    <w:rsid w:val="00D94546"/>
    <w:rsid w:val="00D962EA"/>
    <w:rsid w:val="00D9647E"/>
    <w:rsid w:val="00D96BBA"/>
    <w:rsid w:val="00D975BC"/>
    <w:rsid w:val="00D97E54"/>
    <w:rsid w:val="00DA034F"/>
    <w:rsid w:val="00DA0719"/>
    <w:rsid w:val="00DA1500"/>
    <w:rsid w:val="00DA2EE4"/>
    <w:rsid w:val="00DA3582"/>
    <w:rsid w:val="00DA44F1"/>
    <w:rsid w:val="00DA5769"/>
    <w:rsid w:val="00DA59B1"/>
    <w:rsid w:val="00DA6B0D"/>
    <w:rsid w:val="00DB0259"/>
    <w:rsid w:val="00DB07B7"/>
    <w:rsid w:val="00DB1161"/>
    <w:rsid w:val="00DB2061"/>
    <w:rsid w:val="00DB31AB"/>
    <w:rsid w:val="00DB3B2C"/>
    <w:rsid w:val="00DB3E90"/>
    <w:rsid w:val="00DB45FF"/>
    <w:rsid w:val="00DB618B"/>
    <w:rsid w:val="00DB6941"/>
    <w:rsid w:val="00DB6A22"/>
    <w:rsid w:val="00DB6B1B"/>
    <w:rsid w:val="00DB74D1"/>
    <w:rsid w:val="00DB79FD"/>
    <w:rsid w:val="00DB7C9F"/>
    <w:rsid w:val="00DC0303"/>
    <w:rsid w:val="00DC15D6"/>
    <w:rsid w:val="00DC6BB7"/>
    <w:rsid w:val="00DC7212"/>
    <w:rsid w:val="00DC7C2F"/>
    <w:rsid w:val="00DD0EB9"/>
    <w:rsid w:val="00DD100F"/>
    <w:rsid w:val="00DD10BA"/>
    <w:rsid w:val="00DD2A3A"/>
    <w:rsid w:val="00DD399E"/>
    <w:rsid w:val="00DD3B2C"/>
    <w:rsid w:val="00DD49F6"/>
    <w:rsid w:val="00DD49F9"/>
    <w:rsid w:val="00DD579C"/>
    <w:rsid w:val="00DD57EA"/>
    <w:rsid w:val="00DD619A"/>
    <w:rsid w:val="00DD6585"/>
    <w:rsid w:val="00DE080A"/>
    <w:rsid w:val="00DE28AA"/>
    <w:rsid w:val="00DE2D17"/>
    <w:rsid w:val="00DE47B3"/>
    <w:rsid w:val="00DE4AD6"/>
    <w:rsid w:val="00DE4C84"/>
    <w:rsid w:val="00DE4FFC"/>
    <w:rsid w:val="00DE507C"/>
    <w:rsid w:val="00DE5865"/>
    <w:rsid w:val="00DE6C1C"/>
    <w:rsid w:val="00DE7D04"/>
    <w:rsid w:val="00DF081D"/>
    <w:rsid w:val="00DF0AAB"/>
    <w:rsid w:val="00DF12D7"/>
    <w:rsid w:val="00DF138A"/>
    <w:rsid w:val="00DF2023"/>
    <w:rsid w:val="00DF2B45"/>
    <w:rsid w:val="00DF2CBB"/>
    <w:rsid w:val="00DF341B"/>
    <w:rsid w:val="00DF3B5B"/>
    <w:rsid w:val="00DF405D"/>
    <w:rsid w:val="00DF6275"/>
    <w:rsid w:val="00DF6567"/>
    <w:rsid w:val="00DF6EBD"/>
    <w:rsid w:val="00DF71C8"/>
    <w:rsid w:val="00DF76EB"/>
    <w:rsid w:val="00DF7A02"/>
    <w:rsid w:val="00DF7C6D"/>
    <w:rsid w:val="00E00839"/>
    <w:rsid w:val="00E01528"/>
    <w:rsid w:val="00E0213D"/>
    <w:rsid w:val="00E04317"/>
    <w:rsid w:val="00E043ED"/>
    <w:rsid w:val="00E04FEC"/>
    <w:rsid w:val="00E0695F"/>
    <w:rsid w:val="00E10961"/>
    <w:rsid w:val="00E10A94"/>
    <w:rsid w:val="00E10DA6"/>
    <w:rsid w:val="00E1161A"/>
    <w:rsid w:val="00E134F2"/>
    <w:rsid w:val="00E13B23"/>
    <w:rsid w:val="00E13D5D"/>
    <w:rsid w:val="00E1411A"/>
    <w:rsid w:val="00E14E3A"/>
    <w:rsid w:val="00E15F22"/>
    <w:rsid w:val="00E16007"/>
    <w:rsid w:val="00E16886"/>
    <w:rsid w:val="00E16CD5"/>
    <w:rsid w:val="00E17518"/>
    <w:rsid w:val="00E200AF"/>
    <w:rsid w:val="00E20477"/>
    <w:rsid w:val="00E20C21"/>
    <w:rsid w:val="00E219C8"/>
    <w:rsid w:val="00E236DD"/>
    <w:rsid w:val="00E263F0"/>
    <w:rsid w:val="00E2678C"/>
    <w:rsid w:val="00E272C2"/>
    <w:rsid w:val="00E27A71"/>
    <w:rsid w:val="00E306EA"/>
    <w:rsid w:val="00E31AE0"/>
    <w:rsid w:val="00E32312"/>
    <w:rsid w:val="00E336EB"/>
    <w:rsid w:val="00E3662B"/>
    <w:rsid w:val="00E401D2"/>
    <w:rsid w:val="00E41391"/>
    <w:rsid w:val="00E4156B"/>
    <w:rsid w:val="00E420F3"/>
    <w:rsid w:val="00E42E3C"/>
    <w:rsid w:val="00E43012"/>
    <w:rsid w:val="00E445F6"/>
    <w:rsid w:val="00E44A79"/>
    <w:rsid w:val="00E44FFD"/>
    <w:rsid w:val="00E45229"/>
    <w:rsid w:val="00E47A50"/>
    <w:rsid w:val="00E47DC8"/>
    <w:rsid w:val="00E5039C"/>
    <w:rsid w:val="00E515BC"/>
    <w:rsid w:val="00E51C07"/>
    <w:rsid w:val="00E5218D"/>
    <w:rsid w:val="00E5368B"/>
    <w:rsid w:val="00E54255"/>
    <w:rsid w:val="00E54913"/>
    <w:rsid w:val="00E5497E"/>
    <w:rsid w:val="00E549D0"/>
    <w:rsid w:val="00E54CB6"/>
    <w:rsid w:val="00E55E89"/>
    <w:rsid w:val="00E562E9"/>
    <w:rsid w:val="00E56B7C"/>
    <w:rsid w:val="00E56CB4"/>
    <w:rsid w:val="00E579BA"/>
    <w:rsid w:val="00E6013A"/>
    <w:rsid w:val="00E61AEB"/>
    <w:rsid w:val="00E620F4"/>
    <w:rsid w:val="00E62C9D"/>
    <w:rsid w:val="00E65702"/>
    <w:rsid w:val="00E65EC3"/>
    <w:rsid w:val="00E65FA5"/>
    <w:rsid w:val="00E65FE6"/>
    <w:rsid w:val="00E66829"/>
    <w:rsid w:val="00E7106F"/>
    <w:rsid w:val="00E711DF"/>
    <w:rsid w:val="00E7152D"/>
    <w:rsid w:val="00E71AE3"/>
    <w:rsid w:val="00E71CA3"/>
    <w:rsid w:val="00E72BB1"/>
    <w:rsid w:val="00E72C52"/>
    <w:rsid w:val="00E72F11"/>
    <w:rsid w:val="00E73448"/>
    <w:rsid w:val="00E7391A"/>
    <w:rsid w:val="00E73A4D"/>
    <w:rsid w:val="00E7425D"/>
    <w:rsid w:val="00E74427"/>
    <w:rsid w:val="00E75EDD"/>
    <w:rsid w:val="00E762CD"/>
    <w:rsid w:val="00E76583"/>
    <w:rsid w:val="00E76C43"/>
    <w:rsid w:val="00E76C6E"/>
    <w:rsid w:val="00E77C4C"/>
    <w:rsid w:val="00E77FDD"/>
    <w:rsid w:val="00E80B91"/>
    <w:rsid w:val="00E828D0"/>
    <w:rsid w:val="00E8388E"/>
    <w:rsid w:val="00E83C96"/>
    <w:rsid w:val="00E87735"/>
    <w:rsid w:val="00E901BB"/>
    <w:rsid w:val="00E907F2"/>
    <w:rsid w:val="00E91409"/>
    <w:rsid w:val="00E9144C"/>
    <w:rsid w:val="00E91A3E"/>
    <w:rsid w:val="00E9218C"/>
    <w:rsid w:val="00E93691"/>
    <w:rsid w:val="00E94AB9"/>
    <w:rsid w:val="00E94F0D"/>
    <w:rsid w:val="00E95C81"/>
    <w:rsid w:val="00E95F24"/>
    <w:rsid w:val="00E96F5F"/>
    <w:rsid w:val="00E97492"/>
    <w:rsid w:val="00E979D5"/>
    <w:rsid w:val="00E97F21"/>
    <w:rsid w:val="00EA011C"/>
    <w:rsid w:val="00EA199E"/>
    <w:rsid w:val="00EA245F"/>
    <w:rsid w:val="00EA47C5"/>
    <w:rsid w:val="00EA556F"/>
    <w:rsid w:val="00EA5D7A"/>
    <w:rsid w:val="00EA717E"/>
    <w:rsid w:val="00EA7B76"/>
    <w:rsid w:val="00EB00A1"/>
    <w:rsid w:val="00EB2906"/>
    <w:rsid w:val="00EB2AA1"/>
    <w:rsid w:val="00EB36B4"/>
    <w:rsid w:val="00EB407E"/>
    <w:rsid w:val="00EB416C"/>
    <w:rsid w:val="00EB5750"/>
    <w:rsid w:val="00EB5BB6"/>
    <w:rsid w:val="00EB62FE"/>
    <w:rsid w:val="00EB6AAA"/>
    <w:rsid w:val="00EC0E29"/>
    <w:rsid w:val="00EC2250"/>
    <w:rsid w:val="00EC3831"/>
    <w:rsid w:val="00EC3E8A"/>
    <w:rsid w:val="00EC4018"/>
    <w:rsid w:val="00EC4AF7"/>
    <w:rsid w:val="00EC6633"/>
    <w:rsid w:val="00EC6FA8"/>
    <w:rsid w:val="00EC7F56"/>
    <w:rsid w:val="00ED0068"/>
    <w:rsid w:val="00ED1207"/>
    <w:rsid w:val="00ED16E4"/>
    <w:rsid w:val="00ED3A04"/>
    <w:rsid w:val="00ED41C5"/>
    <w:rsid w:val="00ED430E"/>
    <w:rsid w:val="00ED5AEA"/>
    <w:rsid w:val="00ED5D2E"/>
    <w:rsid w:val="00ED6E6A"/>
    <w:rsid w:val="00ED774F"/>
    <w:rsid w:val="00EE007A"/>
    <w:rsid w:val="00EE0AA7"/>
    <w:rsid w:val="00EE1CCC"/>
    <w:rsid w:val="00EE22D4"/>
    <w:rsid w:val="00EE36DF"/>
    <w:rsid w:val="00EE37F1"/>
    <w:rsid w:val="00EE3A66"/>
    <w:rsid w:val="00EE3B18"/>
    <w:rsid w:val="00EE44EE"/>
    <w:rsid w:val="00EE47B8"/>
    <w:rsid w:val="00EE4CDF"/>
    <w:rsid w:val="00EE4FEA"/>
    <w:rsid w:val="00EE7112"/>
    <w:rsid w:val="00EE7CD1"/>
    <w:rsid w:val="00EF10D6"/>
    <w:rsid w:val="00EF2866"/>
    <w:rsid w:val="00EF327A"/>
    <w:rsid w:val="00EF3550"/>
    <w:rsid w:val="00EF3B7E"/>
    <w:rsid w:val="00EF3DF0"/>
    <w:rsid w:val="00EF44AB"/>
    <w:rsid w:val="00EF472C"/>
    <w:rsid w:val="00EF48BD"/>
    <w:rsid w:val="00EF5973"/>
    <w:rsid w:val="00EF5B80"/>
    <w:rsid w:val="00EF5C44"/>
    <w:rsid w:val="00EF7122"/>
    <w:rsid w:val="00EF7421"/>
    <w:rsid w:val="00EF7523"/>
    <w:rsid w:val="00EF7804"/>
    <w:rsid w:val="00EF786D"/>
    <w:rsid w:val="00EF7C2C"/>
    <w:rsid w:val="00F0266D"/>
    <w:rsid w:val="00F02D82"/>
    <w:rsid w:val="00F02FFD"/>
    <w:rsid w:val="00F045A5"/>
    <w:rsid w:val="00F0581A"/>
    <w:rsid w:val="00F06B34"/>
    <w:rsid w:val="00F0730A"/>
    <w:rsid w:val="00F07CFC"/>
    <w:rsid w:val="00F10055"/>
    <w:rsid w:val="00F152AE"/>
    <w:rsid w:val="00F153D1"/>
    <w:rsid w:val="00F16C58"/>
    <w:rsid w:val="00F21166"/>
    <w:rsid w:val="00F222D3"/>
    <w:rsid w:val="00F23E23"/>
    <w:rsid w:val="00F24293"/>
    <w:rsid w:val="00F24529"/>
    <w:rsid w:val="00F24602"/>
    <w:rsid w:val="00F25295"/>
    <w:rsid w:val="00F26307"/>
    <w:rsid w:val="00F26FBB"/>
    <w:rsid w:val="00F273F6"/>
    <w:rsid w:val="00F27D5A"/>
    <w:rsid w:val="00F31139"/>
    <w:rsid w:val="00F31F75"/>
    <w:rsid w:val="00F325B1"/>
    <w:rsid w:val="00F33010"/>
    <w:rsid w:val="00F33198"/>
    <w:rsid w:val="00F33874"/>
    <w:rsid w:val="00F344BF"/>
    <w:rsid w:val="00F34857"/>
    <w:rsid w:val="00F34C8F"/>
    <w:rsid w:val="00F35044"/>
    <w:rsid w:val="00F353A6"/>
    <w:rsid w:val="00F35881"/>
    <w:rsid w:val="00F35A5B"/>
    <w:rsid w:val="00F37A1E"/>
    <w:rsid w:val="00F4071A"/>
    <w:rsid w:val="00F40DBC"/>
    <w:rsid w:val="00F4124D"/>
    <w:rsid w:val="00F41F01"/>
    <w:rsid w:val="00F43977"/>
    <w:rsid w:val="00F43C57"/>
    <w:rsid w:val="00F44A8E"/>
    <w:rsid w:val="00F45939"/>
    <w:rsid w:val="00F45E29"/>
    <w:rsid w:val="00F474E0"/>
    <w:rsid w:val="00F5101A"/>
    <w:rsid w:val="00F51FAD"/>
    <w:rsid w:val="00F5270A"/>
    <w:rsid w:val="00F52A24"/>
    <w:rsid w:val="00F52DB8"/>
    <w:rsid w:val="00F5453D"/>
    <w:rsid w:val="00F547E8"/>
    <w:rsid w:val="00F56CDD"/>
    <w:rsid w:val="00F600AE"/>
    <w:rsid w:val="00F6017C"/>
    <w:rsid w:val="00F60DD4"/>
    <w:rsid w:val="00F60E55"/>
    <w:rsid w:val="00F60F22"/>
    <w:rsid w:val="00F618CC"/>
    <w:rsid w:val="00F61B4E"/>
    <w:rsid w:val="00F61C58"/>
    <w:rsid w:val="00F63529"/>
    <w:rsid w:val="00F63DD9"/>
    <w:rsid w:val="00F7048F"/>
    <w:rsid w:val="00F70C15"/>
    <w:rsid w:val="00F70D0E"/>
    <w:rsid w:val="00F71527"/>
    <w:rsid w:val="00F725EF"/>
    <w:rsid w:val="00F73787"/>
    <w:rsid w:val="00F739A9"/>
    <w:rsid w:val="00F73ACC"/>
    <w:rsid w:val="00F7554D"/>
    <w:rsid w:val="00F75BE5"/>
    <w:rsid w:val="00F761B1"/>
    <w:rsid w:val="00F7762A"/>
    <w:rsid w:val="00F80D78"/>
    <w:rsid w:val="00F8157C"/>
    <w:rsid w:val="00F81E5B"/>
    <w:rsid w:val="00F843EB"/>
    <w:rsid w:val="00F8506D"/>
    <w:rsid w:val="00F8556F"/>
    <w:rsid w:val="00F85FA8"/>
    <w:rsid w:val="00F8657F"/>
    <w:rsid w:val="00F86815"/>
    <w:rsid w:val="00F86B59"/>
    <w:rsid w:val="00F86BA5"/>
    <w:rsid w:val="00F90F53"/>
    <w:rsid w:val="00F91278"/>
    <w:rsid w:val="00F926F1"/>
    <w:rsid w:val="00F92993"/>
    <w:rsid w:val="00F92EA8"/>
    <w:rsid w:val="00F93369"/>
    <w:rsid w:val="00F94D0C"/>
    <w:rsid w:val="00F95C68"/>
    <w:rsid w:val="00F95E65"/>
    <w:rsid w:val="00F963CF"/>
    <w:rsid w:val="00F9756F"/>
    <w:rsid w:val="00F97B9C"/>
    <w:rsid w:val="00FA035F"/>
    <w:rsid w:val="00FA0906"/>
    <w:rsid w:val="00FA10C5"/>
    <w:rsid w:val="00FA225D"/>
    <w:rsid w:val="00FA39D5"/>
    <w:rsid w:val="00FA3A2E"/>
    <w:rsid w:val="00FA42AD"/>
    <w:rsid w:val="00FA4651"/>
    <w:rsid w:val="00FA5AFF"/>
    <w:rsid w:val="00FA6989"/>
    <w:rsid w:val="00FB0BF3"/>
    <w:rsid w:val="00FB15C2"/>
    <w:rsid w:val="00FB2D74"/>
    <w:rsid w:val="00FB307C"/>
    <w:rsid w:val="00FB45D0"/>
    <w:rsid w:val="00FB5507"/>
    <w:rsid w:val="00FB5BF0"/>
    <w:rsid w:val="00FB6031"/>
    <w:rsid w:val="00FB7BE3"/>
    <w:rsid w:val="00FC077E"/>
    <w:rsid w:val="00FC0DA8"/>
    <w:rsid w:val="00FC1508"/>
    <w:rsid w:val="00FC1A14"/>
    <w:rsid w:val="00FC2C17"/>
    <w:rsid w:val="00FC33B5"/>
    <w:rsid w:val="00FC72E9"/>
    <w:rsid w:val="00FD17DB"/>
    <w:rsid w:val="00FD2D1F"/>
    <w:rsid w:val="00FD38CD"/>
    <w:rsid w:val="00FD3A31"/>
    <w:rsid w:val="00FD3F6A"/>
    <w:rsid w:val="00FD3FEC"/>
    <w:rsid w:val="00FD4746"/>
    <w:rsid w:val="00FD5C28"/>
    <w:rsid w:val="00FD60AE"/>
    <w:rsid w:val="00FD6C0E"/>
    <w:rsid w:val="00FD6DD0"/>
    <w:rsid w:val="00FD7857"/>
    <w:rsid w:val="00FE08A0"/>
    <w:rsid w:val="00FE1A3B"/>
    <w:rsid w:val="00FE1A3E"/>
    <w:rsid w:val="00FE2F51"/>
    <w:rsid w:val="00FE3457"/>
    <w:rsid w:val="00FE3619"/>
    <w:rsid w:val="00FE3DB8"/>
    <w:rsid w:val="00FE4024"/>
    <w:rsid w:val="00FE423B"/>
    <w:rsid w:val="00FE46B3"/>
    <w:rsid w:val="00FE48FC"/>
    <w:rsid w:val="00FE565F"/>
    <w:rsid w:val="00FE640A"/>
    <w:rsid w:val="00FE7B9C"/>
    <w:rsid w:val="00FE7BFD"/>
    <w:rsid w:val="00FE7FF6"/>
    <w:rsid w:val="00FF06C0"/>
    <w:rsid w:val="00FF0DE4"/>
    <w:rsid w:val="00FF143C"/>
    <w:rsid w:val="00FF1767"/>
    <w:rsid w:val="00FF20F3"/>
    <w:rsid w:val="00FF3E1E"/>
    <w:rsid w:val="00FF3E21"/>
    <w:rsid w:val="00FF4908"/>
    <w:rsid w:val="00FF4B3D"/>
    <w:rsid w:val="00FF65DC"/>
    <w:rsid w:val="00FF6799"/>
    <w:rsid w:val="00FF7519"/>
    <w:rsid w:val="0396056A"/>
    <w:rsid w:val="0B421CA2"/>
    <w:rsid w:val="22009AAA"/>
    <w:rsid w:val="39C60090"/>
    <w:rsid w:val="6ED5181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1026" v:ext="edit"/>
    <o:shapelayout v:ext="edit">
      <o:idmap data="1" v:ext="edit"/>
    </o:shapelayout>
  </w:shapeDefaults>
  <w:decimalSymbol w:val="."/>
  <w:listSeparator w:val=","/>
  <w14:docId w14:val="29803784"/>
  <w15:docId w15:val="{40A472DB-3B3B-4170-8E35-47948F5850F2}"/>
</w:setting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Calibri" w:hAnsi="Calibri" w:eastAsia="Calibri" w:cs="Times New Roman"/>
        <w:sz w:val="22"/>
        <w:szCs w:val="22"/>
        <w:lang w:val="en-US" w:eastAsia="en-US" w:bidi="ar-SA"/>
      </w:rPr>
    </w:rPrDefault>
    <w:pPrDefault/>
  </w:docDefaults>
  <w:latentStyles w:defLockedState="false" w:defUIPriority="99" w:defSemiHidden="false" w:defUnhideWhenUsed="false" w:defQFormat="false" w:count="376">
    <w:lsdException w:name="Normal" w:locked="true" w:uiPriority="0" w:qFormat="true"/>
    <w:lsdException w:name="heading 1" w:locked="true" w:uiPriority="0" w:qFormat="true"/>
    <w:lsdException w:name="heading 2" w:locked="true" w:uiPriority="0" w:qFormat="true"/>
    <w:lsdException w:name="heading 3" w:locked="true" w:uiPriority="0" w:semiHidden="true" w:unhideWhenUsed="true" w:qFormat="true"/>
    <w:lsdException w:name="heading 4" w:locked="true" w:uiPriority="0" w:semiHidden="true" w:unhideWhenUsed="true" w:qFormat="true"/>
    <w:lsdException w:name="heading 5" w:locked="true" w:uiPriority="0" w:semiHidden="true" w:unhideWhenUsed="true"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hAnsi="Cambria" w:eastAsia="Times New Roman"/>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eading1Char" w:customStyle="true">
    <w:name w:val="Heading 1 Char"/>
    <w:basedOn w:val="DefaultParagraphFont"/>
    <w:link w:val="Heading1"/>
    <w:uiPriority w:val="99"/>
    <w:locked/>
    <w:rPr>
      <w:rFonts w:ascii="Cambria" w:hAnsi="Cambria" w:cs="Times New Roman"/>
      <w:b/>
      <w:bCs/>
      <w:color w:val="365F91"/>
      <w:sz w:val="28"/>
      <w:szCs w:val="28"/>
    </w:rPr>
  </w:style>
  <w:style w:type="character" w:styleId="Heading2Char" w:customStyle="true">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styleId="HeaderChar" w:customStyle="true">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styleId="FooterChar" w:customStyle="true">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BalloonText">
    <w:name w:val="Balloon Text"/>
    <w:basedOn w:val="Normal"/>
    <w:link w:val="BalloonTextChar"/>
    <w:uiPriority w:val="99"/>
    <w:semiHidden/>
    <w:rPr>
      <w:rFonts w:ascii="Tahoma" w:hAnsi="Tahoma" w:cs="Tahoma"/>
      <w:sz w:val="16"/>
      <w:szCs w:val="16"/>
    </w:rPr>
  </w:style>
  <w:style w:type="character" w:styleId="BalloonTextChar" w:customStyle="true">
    <w:name w:val="Balloon Text Char"/>
    <w:basedOn w:val="DefaultParagraphFont"/>
    <w:link w:val="BalloonText"/>
    <w:uiPriority w:val="99"/>
    <w:semiHidden/>
    <w:locked/>
    <w:rPr>
      <w:rFonts w:ascii="Times New Roman" w:hAnsi="Times New Roman" w:cs="Times New Roman"/>
      <w:sz w:val="2"/>
    </w:rPr>
  </w:style>
  <w:style w:type="paragraph" w:styleId="PlainText">
    <w:name w:val="Plain Text"/>
    <w:basedOn w:val="Normal"/>
    <w:link w:val="PlainTextChar"/>
    <w:uiPriority w:val="99"/>
    <w:pPr>
      <w:spacing w:after="0" w:line="240" w:lineRule="auto"/>
    </w:pPr>
    <w:rPr>
      <w:rFonts w:ascii="Consolas" w:hAnsi="Consolas"/>
      <w:sz w:val="21"/>
      <w:szCs w:val="21"/>
    </w:rPr>
  </w:style>
  <w:style w:type="character" w:styleId="PlainTextChar" w:customStyle="true">
    <w:name w:val="Plain Text Char"/>
    <w:basedOn w:val="DefaultParagraphFont"/>
    <w:link w:val="PlainText"/>
    <w:uiPriority w:val="99"/>
    <w:locked/>
    <w:rPr>
      <w:rFonts w:ascii="Consolas" w:hAnsi="Consolas" w:cs="Times New Roman"/>
      <w:sz w:val="21"/>
      <w:szCs w:val="21"/>
      <w:lang w:val="en-US" w:eastAsia="en-US" w:bidi="ar-SA"/>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pPr>
      <w:spacing w:after="0" w:line="240" w:lineRule="auto"/>
      <w:ind w:right="432"/>
    </w:pPr>
    <w:rPr>
      <w:sz w:val="20"/>
      <w:szCs w:val="20"/>
    </w:rPr>
  </w:style>
  <w:style w:type="character" w:styleId="CommentTextChar" w:customStyle="true">
    <w:name w:val="Comment Text Char"/>
    <w:basedOn w:val="DefaultParagraphFont"/>
    <w:link w:val="CommentText"/>
    <w:uiPriority w:val="99"/>
    <w:locked/>
    <w:rPr>
      <w:rFonts w:ascii="Calibri" w:hAnsi="Calibri" w:cs="Times New Roman"/>
      <w:lang w:val="en-US" w:eastAsia="en-US" w:bidi="ar-SA"/>
    </w:rPr>
  </w:style>
  <w:style w:type="paragraph" w:styleId="NoSpacing">
    <w:name w:val="No Spacing"/>
    <w:link w:val="NoSpacingChar"/>
    <w:uiPriority w:val="99"/>
    <w:qFormat/>
    <w:pPr>
      <w:jc w:val="both"/>
    </w:pPr>
  </w:style>
  <w:style w:type="character" w:styleId="NoSpacingChar" w:customStyle="true">
    <w:name w:val="No Spacing Char"/>
    <w:basedOn w:val="DefaultParagraphFont"/>
    <w:link w:val="NoSpacing"/>
    <w:uiPriority w:val="99"/>
    <w:locked/>
    <w:rPr>
      <w:rFonts w:cs="Times New Roman"/>
      <w:sz w:val="22"/>
      <w:szCs w:val="22"/>
      <w:lang w:val="en-US" w:eastAsia="en-US" w:bidi="ar-SA"/>
    </w:rPr>
  </w:style>
  <w:style w:type="character" w:styleId="SubtleEmphasis">
    <w:name w:val="Subtle Emphasis"/>
    <w:basedOn w:val="DefaultParagraphFont"/>
    <w:uiPriority w:val="19"/>
    <w:qFormat/>
    <w:rPr>
      <w:i/>
      <w:iCs/>
      <w:color w:val="808080" w:themeColor="text1" w:themeTint="7F"/>
    </w:rPr>
  </w:style>
  <w:style w:type="paragraph" w:styleId="CommentSubject">
    <w:name w:val="annotation subject"/>
    <w:basedOn w:val="CommentText"/>
    <w:next w:val="CommentText"/>
    <w:link w:val="CommentSubjectChar"/>
    <w:uiPriority w:val="99"/>
    <w:semiHidden/>
    <w:unhideWhenUsed/>
    <w:pPr>
      <w:spacing w:after="200"/>
      <w:ind w:right="0"/>
    </w:pPr>
    <w:rPr>
      <w:b/>
      <w:bCs/>
    </w:rPr>
  </w:style>
  <w:style w:type="character" w:styleId="CommentSubjectChar" w:customStyle="true">
    <w:name w:val="Comment Subject Char"/>
    <w:basedOn w:val="CommentTextChar"/>
    <w:link w:val="CommentSubject"/>
    <w:uiPriority w:val="99"/>
    <w:semiHidden/>
    <w:rPr>
      <w:rFonts w:ascii="Calibri" w:hAnsi="Calibri" w:cs="Times New Roman"/>
      <w:b/>
      <w:bCs/>
      <w:sz w:val="20"/>
      <w:szCs w:val="20"/>
      <w:lang w:val="en-US" w:eastAsia="en-US" w:bidi="ar-SA"/>
    </w:rPr>
  </w:style>
</w:styles>
</file>

<file path=word/webSettings.xml><?xml version="1.0" encoding="utf-8"?>
<w:webSetting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ivs>
    <w:div w:id="42095646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Relationships xmlns="http://schemas.openxmlformats.org/package/2006/relationships"><Relationship Target="footer1.xml" Type="http://schemas.openxmlformats.org/officeDocument/2006/relationships/footer" Id="rId8"></Relationship><Relationship Target="styles.xml" Type="http://schemas.openxmlformats.org/officeDocument/2006/relationships/styles" Id="rId3"></Relationship><Relationship Target="endnotes.xml" Type="http://schemas.openxmlformats.org/officeDocument/2006/relationships/endnotes" Id="rId7"></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webSettings.xml" Type="http://schemas.openxmlformats.org/officeDocument/2006/relationships/webSettings" Id="rId5"></Relationship><Relationship Target="theme/theme1.xml" Type="http://schemas.openxmlformats.org/officeDocument/2006/relationships/theme" Id="rId10"></Relationship><Relationship Target="settings.xml" Type="http://schemas.openxmlformats.org/officeDocument/2006/relationships/settings" Id="rId4"></Relationship><Relationship Target="fontTable.xml" Type="http://schemas.openxmlformats.org/officeDocument/2006/relationships/fontTable" Id="rId9"></Relationship></Relationships>
</file>

<file path=word/theme/theme1.xml><?xml version="1.0" encoding="utf-8"?>
<a:theme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Target="itemProps1.xml" Type="http://schemas.openxmlformats.org/officeDocument/2006/relationships/customXmlProps" Id="rId1"></Relationship></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1DEDBB00-DB20-4574-8852-955E43709EC0}">
  <ds:schemaRefs>
    <ds:schemaRef ds:uri="http://schemas.openxmlformats.org/officeDocument/2006/bibliography"/>
  </ds:schemaRefs>
</ds:datastoreItem>
</file>

<file path=docProps/app.xml><?xml version="1.0" encoding="utf-8"?>
<properties:Properties xmlns:vt="http://schemas.openxmlformats.org/officeDocument/2006/docPropsVTypes" xmlns:properties="http://schemas.openxmlformats.org/officeDocument/2006/extended-properties">
  <properties:Template>Normal.dotm</properties:Template>
  <properties:Company>Microsoft</properties:Company>
  <properties:ScaleCrop>false</properties:ScaleCrop>
  <properties:LinksUpToDate>false</properties:LinksUpToDate>
  <properties:SharedDoc>false</properties:SharedDoc>
  <properties:HyperlinksChanged>false</properties:HyperlinksChanged>
  <properties:Application>docx4j</properties:Application>
  <properties:AppVersion>2.7.1</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2026-01-28T20:47:00.0000000Z</dcterms:created>
  <dc:creator>Rocio</dc:creator>
  <cp:lastModifiedBy>docx4j</cp:lastModifiedBy>
  <dcterms:modified xmlns:xsi="http://www.w3.org/2001/XMLSchema-instance" xsi:type="dcterms:W3CDTF">2026-01-29T21:21:28.9495118Z</dcterms:modified>
  <cp:revision>29</cp:revision>
  <dc:title>Here is some text</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MSIP_Label_defa4170-0d19-0005-0004-bc88714345d2_Enabled">
    <vt:lpwstr>true</vt:lpwstr>
  </prop:property>
  <prop:property fmtid="{D5CDD505-2E9C-101B-9397-08002B2CF9AE}" pid="3" name="MSIP_Label_defa4170-0d19-0005-0004-bc88714345d2_SetDate">
    <vt:lpwstr>2026-01-28T20:47:42Z</vt:lpwstr>
  </prop:property>
  <prop:property fmtid="{D5CDD505-2E9C-101B-9397-08002B2CF9AE}" pid="4" name="MSIP_Label_defa4170-0d19-0005-0004-bc88714345d2_Method">
    <vt:lpwstr>Standard</vt:lpwstr>
  </prop:property>
  <prop:property fmtid="{D5CDD505-2E9C-101B-9397-08002B2CF9AE}" pid="5" name="MSIP_Label_defa4170-0d19-0005-0004-bc88714345d2_Name">
    <vt:lpwstr>defa4170-0d19-0005-0004-bc88714345d2</vt:lpwstr>
  </prop:property>
  <prop:property fmtid="{D5CDD505-2E9C-101B-9397-08002B2CF9AE}" pid="6" name="MSIP_Label_defa4170-0d19-0005-0004-bc88714345d2_SiteId">
    <vt:lpwstr>70c27f05-4588-4f8d-b595-e048e45275c5</vt:lpwstr>
  </prop:property>
  <prop:property fmtid="{D5CDD505-2E9C-101B-9397-08002B2CF9AE}" pid="7" name="MSIP_Label_defa4170-0d19-0005-0004-bc88714345d2_ActionId">
    <vt:lpwstr>f4a2357e-5761-44b0-9a15-ac669b5206ad</vt:lpwstr>
  </prop:property>
  <prop:property fmtid="{D5CDD505-2E9C-101B-9397-08002B2CF9AE}" pid="8" name="MSIP_Label_defa4170-0d19-0005-0004-bc88714345d2_ContentBits">
    <vt:lpwstr>0</vt:lpwstr>
  </prop:property>
  <prop:property fmtid="{D5CDD505-2E9C-101B-9397-08002B2CF9AE}" pid="9" name="MSIP_Label_defa4170-0d19-0005-0004-bc88714345d2_Tag">
    <vt:lpwstr>10, 3, 0, 2</vt:lpwstr>
  </prop:property>
</prop:Properties>
</file>